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6C2BE">
      <w:pP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附件1：报名表</w:t>
      </w:r>
    </w:p>
    <w:p w14:paraId="68897C50">
      <w:pPr>
        <w:pStyle w:val="6"/>
        <w:jc w:val="center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报名表</w:t>
      </w:r>
    </w:p>
    <w:p w14:paraId="28C280A3">
      <w:pPr>
        <w:pStyle w:val="6"/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4211EB7D">
      <w:pPr>
        <w:pStyle w:val="6"/>
        <w:jc w:val="left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SEK2025008</w:t>
      </w:r>
    </w:p>
    <w:p w14:paraId="091B10D5">
      <w:pPr>
        <w:pStyle w:val="6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山东省第二康复医院门诊楼门诊楼南门两侧房间改造</w:t>
      </w:r>
    </w:p>
    <w:p w14:paraId="7FBCB196">
      <w:pPr>
        <w:pStyle w:val="6"/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6390"/>
      </w:tblGrid>
      <w:tr w14:paraId="00BAC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129" w:type="dxa"/>
            <w:vAlign w:val="center"/>
          </w:tcPr>
          <w:p w14:paraId="4E0496E1">
            <w:pPr>
              <w:pStyle w:val="6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390" w:type="dxa"/>
            <w:vAlign w:val="center"/>
          </w:tcPr>
          <w:p w14:paraId="550A864A">
            <w:pPr>
              <w:pStyle w:val="6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C25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129" w:type="dxa"/>
            <w:vAlign w:val="center"/>
          </w:tcPr>
          <w:p w14:paraId="46D8AEB7">
            <w:pPr>
              <w:pStyle w:val="6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6390" w:type="dxa"/>
            <w:vAlign w:val="center"/>
          </w:tcPr>
          <w:p w14:paraId="4B367DDD">
            <w:pPr>
              <w:pStyle w:val="6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A76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0689DBB5">
            <w:pPr>
              <w:pStyle w:val="6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6390" w:type="dxa"/>
            <w:vAlign w:val="center"/>
          </w:tcPr>
          <w:p w14:paraId="23A54123">
            <w:pPr>
              <w:pStyle w:val="6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1C6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3B0700DE">
            <w:pPr>
              <w:pStyle w:val="6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6390" w:type="dxa"/>
            <w:vAlign w:val="center"/>
          </w:tcPr>
          <w:p w14:paraId="4B2A5F69">
            <w:pPr>
              <w:pStyle w:val="6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03D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3C3B2557">
            <w:pPr>
              <w:pStyle w:val="6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6390" w:type="dxa"/>
            <w:vAlign w:val="center"/>
          </w:tcPr>
          <w:p w14:paraId="60717E4A">
            <w:pPr>
              <w:pStyle w:val="6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203FE5E">
      <w:pPr>
        <w:pStyle w:val="6"/>
        <w:jc w:val="center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6DC2DD1C">
      <w:pPr>
        <w:pStyle w:val="6"/>
        <w:jc w:val="center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0E50270A">
      <w:pPr>
        <w:pStyle w:val="6"/>
        <w:jc w:val="both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470737E5">
      <w:pPr>
        <w:pStyle w:val="6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单位名称（公章）：</w:t>
      </w:r>
    </w:p>
    <w:p w14:paraId="699806E1">
      <w:pPr>
        <w:pStyle w:val="6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7CFBA301">
      <w:pPr>
        <w:pStyle w:val="6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3C5A0ACA">
      <w:pPr>
        <w:pStyle w:val="6"/>
        <w:jc w:val="both"/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270" w:right="1800" w:bottom="127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日期：       年     月    日</w:t>
      </w:r>
    </w:p>
    <w:p w14:paraId="790B94A5">
      <w:pPr>
        <w:pStyle w:val="4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附件2：要求</w:t>
      </w:r>
    </w:p>
    <w:p w14:paraId="23BF66E1">
      <w:pPr>
        <w:pStyle w:val="4"/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第一部分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项目概况</w:t>
      </w:r>
    </w:p>
    <w:p w14:paraId="2B5748D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一、项目总体说明</w:t>
      </w:r>
    </w:p>
    <w:p w14:paraId="7634B65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为改善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我院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门诊楼南门两侧房间使用条件，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现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对门诊楼南门两侧办公室落地窗进行改造，并将南门两侧未安装上下水管道、洗手盆的房间一并增设相应设施。</w:t>
      </w:r>
    </w:p>
    <w:p w14:paraId="4F063A9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维修方案：拆除门诊楼南门两侧房间落地窗，将落地窗改为断桥铝推拉窗，为门诊楼南门两侧未安装上下水及洗手盆的房间增设相应设施。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二、工程量清单</w:t>
      </w:r>
    </w:p>
    <w:tbl>
      <w:tblPr>
        <w:tblStyle w:val="7"/>
        <w:tblW w:w="90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3031"/>
        <w:gridCol w:w="998"/>
        <w:gridCol w:w="998"/>
        <w:gridCol w:w="1048"/>
        <w:gridCol w:w="1231"/>
        <w:gridCol w:w="998"/>
      </w:tblGrid>
      <w:tr w14:paraId="6A28B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63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7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项目名称及项目特征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0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52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6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BB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1B69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44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08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原落地窗拆除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4C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9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7E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C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40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8EA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D3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78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大理石干挂（钢结构骨架）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9F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3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49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F5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0D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与原大理石材料一致</w:t>
            </w:r>
          </w:p>
        </w:tc>
      </w:tr>
      <w:tr w14:paraId="7E02A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C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1B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断桥推拉窗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AB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6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E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E7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096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A57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F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EE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室内水泥压力板加石膏板墙（含乳胶漆）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E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5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B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85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73F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5C0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83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57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窗台板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3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5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34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A0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04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人造石</w:t>
            </w:r>
          </w:p>
        </w:tc>
      </w:tr>
      <w:tr w14:paraId="12834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45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F9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窗帘盒及轨道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04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3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7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2C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F3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95F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E8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DA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不锈钢防盗窗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27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FA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5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34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2B9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4A6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29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FA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脚踏阀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FE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F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9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4C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9DE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AC5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FC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7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柱式洗手盆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4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0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CC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55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A1C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F8C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6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94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上下水改造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8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27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E5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9E0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16D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95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C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82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EE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1F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894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6BC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01940B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15"/>
          <w:szCs w:val="15"/>
          <w:lang w:val="en-US" w:eastAsia="zh-CN" w:bidi="ar"/>
        </w:rPr>
      </w:pPr>
    </w:p>
    <w:p w14:paraId="278403C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三、工期</w:t>
      </w:r>
    </w:p>
    <w:p w14:paraId="3BD9C7B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  供应商可竞报。</w:t>
      </w:r>
    </w:p>
    <w:p w14:paraId="7410C98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四、付款方式</w:t>
      </w:r>
    </w:p>
    <w:p w14:paraId="288D285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    合同签订后，施工完成且验收完成通过后，根据合格发票，支付至合同金额的97%，剩余款项一年后无息付清。</w:t>
      </w:r>
    </w:p>
    <w:p w14:paraId="057FDC2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 w14:paraId="777D83C2">
      <w:pPr>
        <w:pStyle w:val="4"/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7DE3800">
      <w:pPr>
        <w:pStyle w:val="4"/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第二部分  响应文件要求</w:t>
      </w:r>
    </w:p>
    <w:p w14:paraId="4CCFFA7F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一、内容要求</w:t>
      </w:r>
    </w:p>
    <w:p w14:paraId="53CD9BA5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1.营业执照副本（复印件加盖公章）及相关资质证明</w:t>
      </w:r>
    </w:p>
    <w:p w14:paraId="39EC5333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2.法定代表人授权委托书，如法定代表人参加报价，提供法定代表人证明或身份证（复印件加盖公章）</w:t>
      </w:r>
    </w:p>
    <w:p w14:paraId="396D7D89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报价单及报价明细（见附件3）</w:t>
      </w:r>
    </w:p>
    <w:p w14:paraId="2EBC75E9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4.主材明细表（见附件4）</w:t>
      </w:r>
    </w:p>
    <w:p w14:paraId="239565A7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5.供应商认为有必要的其他材料</w:t>
      </w:r>
    </w:p>
    <w:p w14:paraId="59AB9486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二、其他要求</w:t>
      </w:r>
    </w:p>
    <w:p w14:paraId="5D4FDD83"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响应文件，一式三份，建议钉装或胶装。</w:t>
      </w:r>
    </w:p>
    <w:p w14:paraId="060AF1B7"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响应文件做好目录和页码。</w:t>
      </w:r>
    </w:p>
    <w:p w14:paraId="077A7C22"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对响应文件密封情况不做要求。</w:t>
      </w:r>
    </w:p>
    <w:p w14:paraId="5F20605D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7F44904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FE79C13">
      <w:pPr>
        <w:widowControl w:val="0"/>
        <w:jc w:val="left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附件3：报价单及报价明细</w:t>
      </w:r>
    </w:p>
    <w:p w14:paraId="6873CC7C">
      <w:pPr>
        <w:widowControl w:val="0"/>
        <w:jc w:val="left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</w:p>
    <w:p w14:paraId="3185E913">
      <w:pPr>
        <w:pStyle w:val="6"/>
        <w:jc w:val="center"/>
        <w:rPr>
          <w:rFonts w:hint="eastAsia" w:ascii="仿宋" w:hAnsi="仿宋" w:eastAsia="仿宋" w:cs="仿宋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vertAlign w:val="baseline"/>
          <w:lang w:val="en-US" w:eastAsia="zh-CN"/>
        </w:rPr>
        <w:t>报价单</w:t>
      </w:r>
    </w:p>
    <w:p w14:paraId="17684E2A">
      <w:pPr>
        <w:pStyle w:val="6"/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</w:pPr>
    </w:p>
    <w:tbl>
      <w:tblPr>
        <w:tblStyle w:val="7"/>
        <w:tblW w:w="92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3206"/>
        <w:gridCol w:w="5125"/>
      </w:tblGrid>
      <w:tr w14:paraId="7C23B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1855D">
            <w:pPr>
              <w:pStyle w:val="6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EA553">
            <w:pPr>
              <w:pStyle w:val="6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5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71A94">
            <w:pPr>
              <w:pStyle w:val="6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报价(元)</w:t>
            </w:r>
          </w:p>
        </w:tc>
      </w:tr>
      <w:tr w14:paraId="444A9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EB2F7">
            <w:pPr>
              <w:pStyle w:val="6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6912B">
            <w:pPr>
              <w:pStyle w:val="6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山东省第二康复医院门诊楼南门两侧房间改造</w:t>
            </w:r>
          </w:p>
        </w:tc>
        <w:tc>
          <w:tcPr>
            <w:tcW w:w="5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5AFA8">
            <w:pPr>
              <w:pStyle w:val="6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小 写 ：</w:t>
            </w:r>
          </w:p>
          <w:p w14:paraId="21EF3ECE">
            <w:pPr>
              <w:pStyle w:val="6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大 写 ：</w:t>
            </w:r>
          </w:p>
        </w:tc>
      </w:tr>
      <w:tr w14:paraId="1FA8D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3F81D">
            <w:pPr>
              <w:pStyle w:val="6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工期</w:t>
            </w:r>
          </w:p>
        </w:tc>
        <w:tc>
          <w:tcPr>
            <w:tcW w:w="5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4491F0">
            <w:pPr>
              <w:pStyle w:val="6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9B29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26BD7">
            <w:pPr>
              <w:pStyle w:val="6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质保期</w:t>
            </w:r>
          </w:p>
        </w:tc>
        <w:tc>
          <w:tcPr>
            <w:tcW w:w="5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7D92F0">
            <w:pPr>
              <w:pStyle w:val="6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5AD3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4961D">
            <w:pPr>
              <w:pStyle w:val="6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质量标准</w:t>
            </w:r>
          </w:p>
        </w:tc>
        <w:tc>
          <w:tcPr>
            <w:tcW w:w="5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B74E75">
            <w:pPr>
              <w:pStyle w:val="6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8E07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D7FABF">
            <w:pPr>
              <w:pStyle w:val="6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8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E1AC2">
            <w:pPr>
              <w:pStyle w:val="6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B2C2DD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280" w:hanging="1280" w:hangingChars="4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注：（1）提交报价单视同响应院内采购项目需求公示中所有要求。</w:t>
      </w:r>
    </w:p>
    <w:p w14:paraId="3DD1383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（2）本项目为交钥匙工程，供应商所报价格为含税全包价。</w:t>
      </w:r>
    </w:p>
    <w:p w14:paraId="7C35117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（3）报价不得高于预算控制价。</w:t>
      </w:r>
    </w:p>
    <w:p w14:paraId="5A0FE4A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280" w:hanging="1280" w:hangingChars="4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（4）因参与本项目产生的人工、印刷、差旅等费用由供应商承担。</w:t>
      </w:r>
    </w:p>
    <w:p w14:paraId="0D573A0A">
      <w:pPr>
        <w:pStyle w:val="6"/>
        <w:ind w:left="1280" w:hanging="1280" w:hangingChars="400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75540C93">
      <w:pPr>
        <w:pStyle w:val="6"/>
        <w:ind w:left="1280" w:hanging="1280" w:hangingChars="400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单位全称：</w:t>
      </w:r>
    </w:p>
    <w:p w14:paraId="3413285E">
      <w:pPr>
        <w:pStyle w:val="6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签字： </w:t>
      </w:r>
    </w:p>
    <w:p w14:paraId="07B3361D">
      <w:pPr>
        <w:pStyle w:val="6"/>
        <w:jc w:val="both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                          年   月  </w:t>
      </w:r>
    </w:p>
    <w:p w14:paraId="1CC03002">
      <w:pPr>
        <w:pStyle w:val="6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57489316">
      <w:pPr>
        <w:pStyle w:val="6"/>
        <w:jc w:val="center"/>
        <w:rPr>
          <w:rFonts w:hint="eastAsia" w:ascii="仿宋" w:hAnsi="仿宋" w:eastAsia="仿宋" w:cs="仿宋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vertAlign w:val="baseline"/>
          <w:lang w:val="en-US" w:eastAsia="zh-CN"/>
        </w:rPr>
        <w:t>报价明细表</w:t>
      </w:r>
    </w:p>
    <w:p w14:paraId="046E92B7">
      <w:pPr>
        <w:pStyle w:val="6"/>
        <w:jc w:val="center"/>
        <w:rPr>
          <w:rFonts w:hint="eastAsia" w:ascii="仿宋" w:hAnsi="仿宋" w:eastAsia="仿宋" w:cs="仿宋"/>
          <w:b/>
          <w:bCs/>
          <w:sz w:val="21"/>
          <w:szCs w:val="21"/>
          <w:vertAlign w:val="baseline"/>
          <w:lang w:val="en-US" w:eastAsia="zh-CN"/>
        </w:rPr>
      </w:pPr>
    </w:p>
    <w:tbl>
      <w:tblPr>
        <w:tblStyle w:val="8"/>
        <w:tblpPr w:leftFromText="180" w:rightFromText="180" w:vertAnchor="text" w:tblpX="10214" w:tblpY="-21481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 w14:paraId="01BD0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 w14:paraId="5FE52CFA">
            <w:pPr>
              <w:pStyle w:val="6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tbl>
      <w:tblPr>
        <w:tblStyle w:val="7"/>
        <w:tblW w:w="97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360"/>
        <w:gridCol w:w="1080"/>
        <w:gridCol w:w="1080"/>
        <w:gridCol w:w="1134"/>
        <w:gridCol w:w="1331"/>
        <w:gridCol w:w="1080"/>
      </w:tblGrid>
      <w:tr w14:paraId="29E13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84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DD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项目名称及项目特征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3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4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C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1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A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7EF5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2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34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原落地窗拆除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8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3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2F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3A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C39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519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12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C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大理石干挂（钢结构骨架）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5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E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FA9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96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78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与原大理石材料一致</w:t>
            </w:r>
          </w:p>
        </w:tc>
      </w:tr>
      <w:tr w14:paraId="4C218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D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9E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断桥推拉窗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6F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3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BB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EE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199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3B1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B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89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室内水泥压力板加石膏板墙（含乳胶漆）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2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9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FD3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4B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392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102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0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9A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窗台板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5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0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4A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9B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A4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人造石</w:t>
            </w:r>
          </w:p>
        </w:tc>
      </w:tr>
      <w:tr w14:paraId="76DC5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7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0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窗帘盒及轨道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6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80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61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69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717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1BF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A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61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不锈钢防盗窗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C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F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8F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54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60E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941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5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8D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脚踏阀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5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28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00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A0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C42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D2D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D2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7B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柱式洗手盆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45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0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DE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04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3A3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F61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96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上下水改造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3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B8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C5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BD3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272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54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CC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B8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2D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1B9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620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49B9994">
      <w:pPr>
        <w:pStyle w:val="6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E5CF9EA">
      <w:pPr>
        <w:widowControl w:val="0"/>
        <w:jc w:val="left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附件4：主材明细表</w:t>
      </w:r>
    </w:p>
    <w:p w14:paraId="396A83CD">
      <w:pPr>
        <w:widowControl w:val="0"/>
        <w:jc w:val="left"/>
        <w:rPr>
          <w:rFonts w:hint="eastAsia" w:ascii="仿宋" w:hAnsi="仿宋" w:eastAsia="仿宋" w:cs="仿宋"/>
          <w:b/>
          <w:bCs/>
          <w:kern w:val="2"/>
          <w:sz w:val="20"/>
          <w:szCs w:val="20"/>
          <w:lang w:val="en-US" w:eastAsia="zh-CN" w:bidi="ar-SA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571"/>
        <w:gridCol w:w="1585"/>
        <w:gridCol w:w="1321"/>
        <w:gridCol w:w="1258"/>
        <w:gridCol w:w="1029"/>
        <w:gridCol w:w="1029"/>
        <w:gridCol w:w="1327"/>
      </w:tblGrid>
      <w:tr w14:paraId="2E1A5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4" w:type="dxa"/>
            <w:shd w:val="clear" w:color="FFFFFF" w:fill="FFFFFF"/>
            <w:vAlign w:val="center"/>
          </w:tcPr>
          <w:p w14:paraId="77439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序号</w:t>
            </w:r>
          </w:p>
        </w:tc>
        <w:tc>
          <w:tcPr>
            <w:tcW w:w="1571" w:type="dxa"/>
            <w:shd w:val="clear" w:color="FFFFFF" w:fill="FFFFFF"/>
            <w:vAlign w:val="center"/>
          </w:tcPr>
          <w:p w14:paraId="1B2D3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主材名称</w:t>
            </w:r>
          </w:p>
        </w:tc>
        <w:tc>
          <w:tcPr>
            <w:tcW w:w="1585" w:type="dxa"/>
            <w:shd w:val="clear" w:color="FFFFFF" w:fill="FFFFFF"/>
            <w:vAlign w:val="center"/>
          </w:tcPr>
          <w:p w14:paraId="0189A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规格型号</w:t>
            </w:r>
          </w:p>
        </w:tc>
        <w:tc>
          <w:tcPr>
            <w:tcW w:w="1321" w:type="dxa"/>
            <w:shd w:val="clear" w:color="FFFFFF" w:fill="FFFFFF"/>
            <w:vAlign w:val="center"/>
          </w:tcPr>
          <w:p w14:paraId="46FCF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品牌</w:t>
            </w:r>
          </w:p>
        </w:tc>
        <w:tc>
          <w:tcPr>
            <w:tcW w:w="1258" w:type="dxa"/>
            <w:shd w:val="clear" w:color="FFFFFF" w:fill="FFFFFF"/>
            <w:vAlign w:val="center"/>
          </w:tcPr>
          <w:p w14:paraId="19455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制造商</w:t>
            </w:r>
          </w:p>
        </w:tc>
        <w:tc>
          <w:tcPr>
            <w:tcW w:w="1029" w:type="dxa"/>
            <w:shd w:val="clear" w:color="FFFFFF" w:fill="FFFFFF"/>
            <w:vAlign w:val="center"/>
          </w:tcPr>
          <w:p w14:paraId="01DB3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产地</w:t>
            </w:r>
          </w:p>
        </w:tc>
        <w:tc>
          <w:tcPr>
            <w:tcW w:w="1029" w:type="dxa"/>
            <w:shd w:val="clear" w:color="FFFFFF" w:fill="FFFFFF"/>
            <w:vAlign w:val="center"/>
          </w:tcPr>
          <w:p w14:paraId="4967A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单价</w:t>
            </w:r>
          </w:p>
        </w:tc>
        <w:tc>
          <w:tcPr>
            <w:tcW w:w="1327" w:type="dxa"/>
            <w:shd w:val="clear" w:color="FFFFFF" w:fill="FFFFFF"/>
            <w:vAlign w:val="center"/>
          </w:tcPr>
          <w:p w14:paraId="54475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备注</w:t>
            </w:r>
          </w:p>
        </w:tc>
      </w:tr>
      <w:tr w14:paraId="1D13F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4" w:type="dxa"/>
            <w:shd w:val="clear" w:color="FFFFFF" w:fill="FFFFFF"/>
            <w:vAlign w:val="center"/>
          </w:tcPr>
          <w:p w14:paraId="09461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71" w:type="dxa"/>
            <w:shd w:val="clear" w:color="FFFFFF" w:fill="FFFFFF"/>
            <w:vAlign w:val="center"/>
          </w:tcPr>
          <w:p w14:paraId="3FF9F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FFFFFF"/>
            <w:vAlign w:val="center"/>
          </w:tcPr>
          <w:p w14:paraId="4BF58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FFFFFF" w:fill="FFFFFF"/>
            <w:vAlign w:val="center"/>
          </w:tcPr>
          <w:p w14:paraId="17ED5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FFFFFF" w:fill="FFFFFF"/>
            <w:vAlign w:val="center"/>
          </w:tcPr>
          <w:p w14:paraId="0DE93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FFFFFF" w:fill="FFFFFF"/>
            <w:vAlign w:val="center"/>
          </w:tcPr>
          <w:p w14:paraId="518B4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FFFFFF" w:fill="FFFFFF"/>
            <w:vAlign w:val="center"/>
          </w:tcPr>
          <w:p w14:paraId="73927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27" w:type="dxa"/>
            <w:shd w:val="clear" w:color="FFFFFF" w:fill="FFFFFF"/>
            <w:vAlign w:val="center"/>
          </w:tcPr>
          <w:p w14:paraId="2C004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4ADCF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4" w:type="dxa"/>
            <w:shd w:val="clear" w:color="FFFFFF" w:fill="FFFFFF"/>
            <w:vAlign w:val="center"/>
          </w:tcPr>
          <w:p w14:paraId="37D66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71" w:type="dxa"/>
            <w:shd w:val="clear" w:color="FFFFFF" w:fill="FFFFFF"/>
            <w:vAlign w:val="center"/>
          </w:tcPr>
          <w:p w14:paraId="65352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FFFFFF"/>
            <w:vAlign w:val="center"/>
          </w:tcPr>
          <w:p w14:paraId="25E45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FFFFFF" w:fill="FFFFFF"/>
            <w:vAlign w:val="center"/>
          </w:tcPr>
          <w:p w14:paraId="78B02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FFFFFF" w:fill="FFFFFF"/>
            <w:vAlign w:val="center"/>
          </w:tcPr>
          <w:p w14:paraId="09DB5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FFFFFF" w:fill="FFFFFF"/>
            <w:vAlign w:val="center"/>
          </w:tcPr>
          <w:p w14:paraId="74334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FFFFFF" w:fill="FFFFFF"/>
            <w:vAlign w:val="center"/>
          </w:tcPr>
          <w:p w14:paraId="21383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27" w:type="dxa"/>
            <w:shd w:val="clear" w:color="FFFFFF" w:fill="FFFFFF"/>
            <w:vAlign w:val="center"/>
          </w:tcPr>
          <w:p w14:paraId="7635E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2F9AA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4" w:type="dxa"/>
            <w:shd w:val="clear" w:color="FFFFFF" w:fill="FFFFFF"/>
            <w:vAlign w:val="center"/>
          </w:tcPr>
          <w:p w14:paraId="374F2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71" w:type="dxa"/>
            <w:shd w:val="clear" w:color="FFFFFF" w:fill="FFFFFF"/>
            <w:vAlign w:val="center"/>
          </w:tcPr>
          <w:p w14:paraId="2F041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FFFFFF"/>
            <w:vAlign w:val="center"/>
          </w:tcPr>
          <w:p w14:paraId="47713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FFFFFF" w:fill="FFFFFF"/>
            <w:vAlign w:val="center"/>
          </w:tcPr>
          <w:p w14:paraId="3FBF6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FFFFFF" w:fill="FFFFFF"/>
            <w:vAlign w:val="center"/>
          </w:tcPr>
          <w:p w14:paraId="2C3CE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FFFFFF" w:fill="FFFFFF"/>
            <w:vAlign w:val="center"/>
          </w:tcPr>
          <w:p w14:paraId="76A78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FFFFFF" w:fill="FFFFFF"/>
            <w:vAlign w:val="center"/>
          </w:tcPr>
          <w:p w14:paraId="63D67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27" w:type="dxa"/>
            <w:shd w:val="clear" w:color="FFFFFF" w:fill="FFFFFF"/>
            <w:vAlign w:val="center"/>
          </w:tcPr>
          <w:p w14:paraId="02535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7125D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4" w:type="dxa"/>
            <w:shd w:val="clear" w:color="FFFFFF" w:fill="FFFFFF"/>
            <w:vAlign w:val="center"/>
          </w:tcPr>
          <w:p w14:paraId="0F417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71" w:type="dxa"/>
            <w:shd w:val="clear" w:color="FFFFFF" w:fill="FFFFFF"/>
            <w:vAlign w:val="center"/>
          </w:tcPr>
          <w:p w14:paraId="43491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FFFFFF"/>
            <w:vAlign w:val="center"/>
          </w:tcPr>
          <w:p w14:paraId="18F3A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FFFFFF" w:fill="FFFFFF"/>
            <w:vAlign w:val="center"/>
          </w:tcPr>
          <w:p w14:paraId="6068D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FFFFFF" w:fill="FFFFFF"/>
            <w:vAlign w:val="center"/>
          </w:tcPr>
          <w:p w14:paraId="50D53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FFFFFF" w:fill="FFFFFF"/>
            <w:vAlign w:val="center"/>
          </w:tcPr>
          <w:p w14:paraId="76A50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FFFFFF" w:fill="FFFFFF"/>
            <w:vAlign w:val="center"/>
          </w:tcPr>
          <w:p w14:paraId="73458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27" w:type="dxa"/>
            <w:shd w:val="clear" w:color="FFFFFF" w:fill="FFFFFF"/>
            <w:vAlign w:val="center"/>
          </w:tcPr>
          <w:p w14:paraId="4D9F8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5EDC7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4" w:type="dxa"/>
            <w:shd w:val="clear" w:color="FFFFFF" w:fill="FFFFFF"/>
            <w:vAlign w:val="center"/>
          </w:tcPr>
          <w:p w14:paraId="42E30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71" w:type="dxa"/>
            <w:shd w:val="clear" w:color="FFFFFF" w:fill="FFFFFF"/>
            <w:vAlign w:val="center"/>
          </w:tcPr>
          <w:p w14:paraId="27764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FFFFFF"/>
            <w:vAlign w:val="center"/>
          </w:tcPr>
          <w:p w14:paraId="49145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FFFFFF" w:fill="FFFFFF"/>
            <w:vAlign w:val="center"/>
          </w:tcPr>
          <w:p w14:paraId="1885E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FFFFFF" w:fill="FFFFFF"/>
            <w:vAlign w:val="center"/>
          </w:tcPr>
          <w:p w14:paraId="1D101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FFFFFF" w:fill="FFFFFF"/>
            <w:vAlign w:val="center"/>
          </w:tcPr>
          <w:p w14:paraId="6488B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FFFFFF" w:fill="FFFFFF"/>
            <w:vAlign w:val="center"/>
          </w:tcPr>
          <w:p w14:paraId="36AF2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27" w:type="dxa"/>
            <w:shd w:val="clear" w:color="FFFFFF" w:fill="FFFFFF"/>
            <w:vAlign w:val="center"/>
          </w:tcPr>
          <w:p w14:paraId="0C329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710B3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4" w:type="dxa"/>
            <w:shd w:val="clear" w:color="FFFFFF" w:fill="FFFFFF"/>
            <w:vAlign w:val="center"/>
          </w:tcPr>
          <w:p w14:paraId="72FC5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71" w:type="dxa"/>
            <w:shd w:val="clear" w:color="FFFFFF" w:fill="FFFFFF"/>
            <w:vAlign w:val="center"/>
          </w:tcPr>
          <w:p w14:paraId="52EE5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FFFFFF"/>
            <w:vAlign w:val="center"/>
          </w:tcPr>
          <w:p w14:paraId="02AC4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FFFFFF" w:fill="FFFFFF"/>
            <w:vAlign w:val="center"/>
          </w:tcPr>
          <w:p w14:paraId="7AC5A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FFFFFF" w:fill="FFFFFF"/>
            <w:vAlign w:val="center"/>
          </w:tcPr>
          <w:p w14:paraId="5B795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FFFFFF" w:fill="FFFFFF"/>
            <w:vAlign w:val="center"/>
          </w:tcPr>
          <w:p w14:paraId="6798F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FFFFFF" w:fill="FFFFFF"/>
            <w:vAlign w:val="center"/>
          </w:tcPr>
          <w:p w14:paraId="09AE2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27" w:type="dxa"/>
            <w:shd w:val="clear" w:color="FFFFFF" w:fill="FFFFFF"/>
            <w:vAlign w:val="center"/>
          </w:tcPr>
          <w:p w14:paraId="778D8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3BF76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4" w:type="dxa"/>
            <w:shd w:val="clear" w:color="FFFFFF" w:fill="FFFFFF"/>
            <w:vAlign w:val="center"/>
          </w:tcPr>
          <w:p w14:paraId="1A61C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71" w:type="dxa"/>
            <w:shd w:val="clear" w:color="FFFFFF" w:fill="FFFFFF"/>
            <w:vAlign w:val="center"/>
          </w:tcPr>
          <w:p w14:paraId="3DA49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FFFFFF"/>
            <w:vAlign w:val="center"/>
          </w:tcPr>
          <w:p w14:paraId="23083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FFFFFF" w:fill="FFFFFF"/>
            <w:vAlign w:val="center"/>
          </w:tcPr>
          <w:p w14:paraId="21AAF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FFFFFF" w:fill="FFFFFF"/>
            <w:vAlign w:val="center"/>
          </w:tcPr>
          <w:p w14:paraId="26D44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FFFFFF" w:fill="FFFFFF"/>
            <w:vAlign w:val="center"/>
          </w:tcPr>
          <w:p w14:paraId="7E134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FFFFFF" w:fill="FFFFFF"/>
            <w:vAlign w:val="center"/>
          </w:tcPr>
          <w:p w14:paraId="1DCC9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27" w:type="dxa"/>
            <w:shd w:val="clear" w:color="FFFFFF" w:fill="FFFFFF"/>
            <w:vAlign w:val="center"/>
          </w:tcPr>
          <w:p w14:paraId="6B228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21A80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4" w:type="dxa"/>
            <w:shd w:val="clear" w:color="FFFFFF" w:fill="FFFFFF"/>
            <w:vAlign w:val="center"/>
          </w:tcPr>
          <w:p w14:paraId="7EF2E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71" w:type="dxa"/>
            <w:shd w:val="clear" w:color="FFFFFF" w:fill="FFFFFF"/>
            <w:vAlign w:val="center"/>
          </w:tcPr>
          <w:p w14:paraId="26B77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FFFFFF"/>
            <w:vAlign w:val="center"/>
          </w:tcPr>
          <w:p w14:paraId="463A5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FFFFFF" w:fill="FFFFFF"/>
            <w:vAlign w:val="center"/>
          </w:tcPr>
          <w:p w14:paraId="7D455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FFFFFF" w:fill="FFFFFF"/>
            <w:vAlign w:val="center"/>
          </w:tcPr>
          <w:p w14:paraId="6FEFF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FFFFFF" w:fill="FFFFFF"/>
            <w:vAlign w:val="center"/>
          </w:tcPr>
          <w:p w14:paraId="2E4C9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FFFFFF" w:fill="FFFFFF"/>
            <w:vAlign w:val="center"/>
          </w:tcPr>
          <w:p w14:paraId="5A504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27" w:type="dxa"/>
            <w:shd w:val="clear" w:color="FFFFFF" w:fill="FFFFFF"/>
            <w:vAlign w:val="center"/>
          </w:tcPr>
          <w:p w14:paraId="15188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773BA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4" w:type="dxa"/>
            <w:shd w:val="clear" w:color="FFFFFF" w:fill="FFFFFF"/>
            <w:vAlign w:val="center"/>
          </w:tcPr>
          <w:p w14:paraId="48809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71" w:type="dxa"/>
            <w:shd w:val="clear" w:color="FFFFFF" w:fill="FFFFFF"/>
            <w:vAlign w:val="center"/>
          </w:tcPr>
          <w:p w14:paraId="49560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FFFFFF"/>
            <w:vAlign w:val="center"/>
          </w:tcPr>
          <w:p w14:paraId="4D3A7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FFFFFF" w:fill="FFFFFF"/>
            <w:vAlign w:val="center"/>
          </w:tcPr>
          <w:p w14:paraId="5DCF6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FFFFFF" w:fill="FFFFFF"/>
            <w:vAlign w:val="center"/>
          </w:tcPr>
          <w:p w14:paraId="12A66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FFFFFF" w:fill="FFFFFF"/>
            <w:vAlign w:val="center"/>
          </w:tcPr>
          <w:p w14:paraId="5D41C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FFFFFF" w:fill="FFFFFF"/>
            <w:vAlign w:val="center"/>
          </w:tcPr>
          <w:p w14:paraId="1D7A5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27" w:type="dxa"/>
            <w:shd w:val="clear" w:color="FFFFFF" w:fill="FFFFFF"/>
            <w:vAlign w:val="center"/>
          </w:tcPr>
          <w:p w14:paraId="17B77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785D0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4" w:type="dxa"/>
            <w:shd w:val="clear" w:color="FFFFFF" w:fill="FFFFFF"/>
            <w:vAlign w:val="center"/>
          </w:tcPr>
          <w:p w14:paraId="7E1CD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…</w:t>
            </w:r>
          </w:p>
        </w:tc>
        <w:tc>
          <w:tcPr>
            <w:tcW w:w="1571" w:type="dxa"/>
            <w:shd w:val="clear" w:color="FFFFFF" w:fill="FFFFFF"/>
            <w:vAlign w:val="center"/>
          </w:tcPr>
          <w:p w14:paraId="2AE98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FFFFFF"/>
            <w:vAlign w:val="center"/>
          </w:tcPr>
          <w:p w14:paraId="66AAF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FFFFFF" w:fill="FFFFFF"/>
            <w:vAlign w:val="center"/>
          </w:tcPr>
          <w:p w14:paraId="13789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FFFFFF" w:fill="FFFFFF"/>
            <w:vAlign w:val="center"/>
          </w:tcPr>
          <w:p w14:paraId="44DAA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FFFFFF" w:fill="FFFFFF"/>
            <w:vAlign w:val="center"/>
          </w:tcPr>
          <w:p w14:paraId="26846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FFFFFF" w:fill="FFFFFF"/>
            <w:vAlign w:val="center"/>
          </w:tcPr>
          <w:p w14:paraId="25DCA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27" w:type="dxa"/>
            <w:shd w:val="clear" w:color="FFFFFF" w:fill="FFFFFF"/>
            <w:vAlign w:val="center"/>
          </w:tcPr>
          <w:p w14:paraId="07379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 w14:paraId="79583669">
      <w:pPr>
        <w:widowControl w:val="0"/>
        <w:jc w:val="left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</w:p>
    <w:p w14:paraId="06AFD9F8">
      <w:pPr>
        <w:pStyle w:val="6"/>
        <w:jc w:val="both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 xml:space="preserve">供应商名称（公章）：                  </w:t>
      </w:r>
    </w:p>
    <w:p w14:paraId="3E4BE42E">
      <w:pPr>
        <w:pStyle w:val="6"/>
        <w:jc w:val="both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 xml:space="preserve">日期：              </w:t>
      </w:r>
    </w:p>
    <w:p w14:paraId="0531302E">
      <w:pPr>
        <w:pStyle w:val="6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0FDC3">
    <w:pPr>
      <w:spacing w:line="175" w:lineRule="auto"/>
      <w:rPr>
        <w:rFonts w:ascii="宋体" w:hAnsi="宋体" w:eastAsia="宋体" w:cs="宋体"/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A4A1C">
    <w:pPr>
      <w:spacing w:line="175" w:lineRule="auto"/>
      <w:rPr>
        <w:rFonts w:ascii="宋体" w:hAnsi="宋体" w:eastAsia="宋体" w:cs="宋体"/>
        <w:sz w:val="23"/>
        <w:szCs w:val="23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98597C"/>
    <w:multiLevelType w:val="singleLevel"/>
    <w:tmpl w:val="859859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26DCC"/>
    <w:rsid w:val="060A6674"/>
    <w:rsid w:val="0DC7530A"/>
    <w:rsid w:val="194E74DA"/>
    <w:rsid w:val="1A0C303A"/>
    <w:rsid w:val="1BFF47FF"/>
    <w:rsid w:val="34750D1D"/>
    <w:rsid w:val="399A22EF"/>
    <w:rsid w:val="3D7D1B43"/>
    <w:rsid w:val="431C2E9C"/>
    <w:rsid w:val="49FE730D"/>
    <w:rsid w:val="52736709"/>
    <w:rsid w:val="644F31C6"/>
    <w:rsid w:val="78F36F11"/>
    <w:rsid w:val="7D93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widowControl w:val="0"/>
      <w:spacing w:line="576" w:lineRule="auto"/>
      <w:jc w:val="both"/>
      <w:outlineLvl w:val="0"/>
    </w:pPr>
    <w:rPr>
      <w:rFonts w:asciiTheme="minorHAnsi" w:hAnsiTheme="minorHAnsi" w:eastAsiaTheme="minorEastAsia" w:cstheme="minorBidi"/>
      <w:b/>
      <w:kern w:val="44"/>
      <w:sz w:val="44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</w:rPr>
  </w:style>
  <w:style w:type="paragraph" w:styleId="4">
    <w:name w:val="Body Text"/>
    <w:basedOn w:val="1"/>
    <w:next w:val="5"/>
    <w:unhideWhenUsed/>
    <w:qFormat/>
    <w:uiPriority w:val="99"/>
    <w:pPr>
      <w:spacing w:after="120"/>
    </w:pPr>
    <w:rPr>
      <w:rFonts w:eastAsia="Times New Roman"/>
    </w:rPr>
  </w:style>
  <w:style w:type="paragraph" w:styleId="5">
    <w:name w:val="Body Text Indent"/>
    <w:basedOn w:val="1"/>
    <w:next w:val="1"/>
    <w:unhideWhenUsed/>
    <w:qFormat/>
    <w:uiPriority w:val="99"/>
    <w:pPr>
      <w:spacing w:after="120"/>
      <w:ind w:left="420" w:leftChars="200"/>
    </w:pPr>
    <w:rPr>
      <w:rFonts w:ascii="Times New Roman" w:hAnsi="Times New Roman" w:eastAsiaTheme="minorEastAsia" w:cstheme="minorBidi"/>
      <w:sz w:val="21"/>
      <w:szCs w:val="22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大标题"/>
    <w:basedOn w:val="1"/>
    <w:qFormat/>
    <w:uiPriority w:val="0"/>
    <w:pPr>
      <w:widowControl/>
      <w:spacing w:line="500" w:lineRule="exact"/>
      <w:jc w:val="center"/>
    </w:pPr>
    <w:rPr>
      <w:rFonts w:hint="eastAsia" w:ascii="方正小标宋_GBK" w:hAnsi="方正小标宋_GBK" w:eastAsia="方正小标宋_GBK" w:cs="宋体"/>
      <w:color w:val="000000"/>
      <w:kern w:val="0"/>
      <w:sz w:val="44"/>
      <w:szCs w:val="44"/>
    </w:rPr>
  </w:style>
  <w:style w:type="paragraph" w:customStyle="1" w:styleId="11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标题 1 Char"/>
    <w:link w:val="2"/>
    <w:qFormat/>
    <w:uiPriority w:val="0"/>
    <w:rPr>
      <w:rFonts w:asciiTheme="minorHAnsi" w:hAnsiTheme="minorHAnsi" w:eastAsiaTheme="minorEastAsia" w:cstheme="minorBidi"/>
      <w:b/>
      <w:kern w:val="44"/>
      <w:sz w:val="44"/>
      <w:szCs w:val="24"/>
      <w:lang w:val="en-US" w:eastAsia="zh-CN" w:bidi="ar-SA"/>
    </w:rPr>
  </w:style>
  <w:style w:type="character" w:customStyle="1" w:styleId="13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styleId="14">
    <w:name w:val="No Spacing"/>
    <w:qFormat/>
    <w:uiPriority w:val="1"/>
    <w:pPr>
      <w:widowControl w:val="0"/>
      <w:ind w:firstLine="200" w:firstLineChars="200"/>
    </w:pPr>
    <w:rPr>
      <w:rFonts w:ascii="Calibri" w:hAnsi="Calibri" w:eastAsia="仿宋" w:cs="Times New Roman"/>
      <w:kern w:val="2"/>
      <w:sz w:val="24"/>
      <w:lang w:val="en-US" w:eastAsia="zh-CN" w:bidi="ar-SA"/>
    </w:rPr>
  </w:style>
  <w:style w:type="paragraph" w:customStyle="1" w:styleId="15">
    <w:name w:val="正文1"/>
    <w:basedOn w:val="1"/>
    <w:qFormat/>
    <w:uiPriority w:val="0"/>
    <w:pPr>
      <w:keepLines w:val="0"/>
      <w:wordWrap w:val="0"/>
      <w:spacing w:before="0" w:beforeLines="0" w:after="0" w:afterLines="0" w:line="560" w:lineRule="exact"/>
      <w:ind w:firstLine="200" w:firstLineChars="200"/>
      <w:jc w:val="left"/>
    </w:pPr>
    <w:rPr>
      <w:rFonts w:ascii="Arial Unicode MS" w:hAnsi="Arial Unicode MS" w:eastAsia="楷体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1739</Words>
  <Characters>1913</Characters>
  <Lines>0</Lines>
  <Paragraphs>0</Paragraphs>
  <TotalTime>3</TotalTime>
  <ScaleCrop>false</ScaleCrop>
  <LinksUpToDate>false</LinksUpToDate>
  <CharactersWithSpaces>2009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2024-01-12T01:53:00Z</dcterms:created>
  <dc:creator>Administrator</dc:creator>
  <cp:lastModifiedBy>依心而行</cp:lastModifiedBy>
  <dcterms:modified xsi:type="dcterms:W3CDTF">2025-04-17T07:01:21Z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B7E45C1563DE42EA944A96C0A04F9ED6_13</vt:lpwstr>
  </property>
  <property fmtid="{D5CDD505-2E9C-101B-9397-08002B2CF9AE}" pid="4" name="KSOTemplateDocerSaveRecord">
    <vt:lpwstr>eyJoZGlkIjoiYWVmNDFmMzZlMzEwYWZhZDQyNmI4YTVlNDQyNjQyNDgiLCJ1c2VySWQiOiIzMDcwMjEzNTAifQ==</vt:lpwstr>
  </property>
</Properties>
</file>