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F412E">
      <w:pP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附件1：报名表</w:t>
      </w:r>
    </w:p>
    <w:p w14:paraId="1F2A9D62">
      <w:pPr>
        <w:pStyle w:val="4"/>
        <w:jc w:val="center"/>
        <w:rPr>
          <w:rFonts w:hint="eastAsia" w:ascii="仿宋" w:hAnsi="仿宋" w:eastAsia="仿宋" w:cs="仿宋"/>
          <w:b/>
          <w:bCs/>
          <w:color w:val="000000" w:themeColor="text1"/>
          <w:sz w:val="36"/>
          <w:szCs w:val="36"/>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36"/>
          <w:szCs w:val="36"/>
          <w:highlight w:val="none"/>
          <w:vertAlign w:val="baseline"/>
          <w:lang w:val="en-US" w:eastAsia="zh-CN"/>
          <w14:textFill>
            <w14:solidFill>
              <w14:schemeClr w14:val="tx1"/>
            </w14:solidFill>
          </w14:textFill>
        </w:rPr>
        <w:t>报名表</w:t>
      </w:r>
    </w:p>
    <w:p w14:paraId="2D845C07">
      <w:pPr>
        <w:pStyle w:val="4"/>
        <w:jc w:val="both"/>
        <w:rPr>
          <w:rFonts w:hint="eastAsia" w:ascii="仿宋" w:hAnsi="仿宋" w:eastAsia="仿宋" w:cs="仿宋"/>
          <w:b/>
          <w:bCs/>
          <w:color w:val="000000" w:themeColor="text1"/>
          <w:sz w:val="32"/>
          <w:szCs w:val="32"/>
          <w:highlight w:val="none"/>
          <w:vertAlign w:val="baseline"/>
          <w:lang w:val="en-US" w:eastAsia="zh-CN"/>
          <w14:textFill>
            <w14:solidFill>
              <w14:schemeClr w14:val="tx1"/>
            </w14:solidFill>
          </w14:textFill>
        </w:rPr>
      </w:pPr>
    </w:p>
    <w:p w14:paraId="5D1302B9">
      <w:pPr>
        <w:pStyle w:val="4"/>
        <w:jc w:val="left"/>
        <w:rPr>
          <w:rFonts w:hint="default" w:ascii="仿宋" w:hAnsi="仿宋" w:eastAsia="仿宋" w:cs="仿宋"/>
          <w:b/>
          <w:bCs/>
          <w:color w:val="000000" w:themeColor="text1"/>
          <w:sz w:val="32"/>
          <w:szCs w:val="32"/>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vertAlign w:val="baseline"/>
          <w:lang w:val="en-US" w:eastAsia="zh-CN"/>
          <w14:textFill>
            <w14:solidFill>
              <w14:schemeClr w14:val="tx1"/>
            </w14:solidFill>
          </w14:textFill>
        </w:rPr>
        <w:t>项目编号：</w:t>
      </w:r>
      <w:r>
        <w:rPr>
          <w:rFonts w:hint="eastAsia" w:ascii="仿宋" w:hAnsi="仿宋" w:eastAsia="仿宋" w:cs="仿宋"/>
          <w:b w:val="0"/>
          <w:bCs w:val="0"/>
          <w:color w:val="000000" w:themeColor="text1"/>
          <w:sz w:val="32"/>
          <w:szCs w:val="32"/>
          <w:highlight w:val="none"/>
          <w:vertAlign w:val="baseline"/>
          <w:lang w:val="en-US" w:eastAsia="zh-CN"/>
          <w14:textFill>
            <w14:solidFill>
              <w14:schemeClr w14:val="tx1"/>
            </w14:solidFill>
          </w14:textFill>
        </w:rPr>
        <w:t>SEK2026027</w:t>
      </w:r>
    </w:p>
    <w:p w14:paraId="199D03DF">
      <w:pPr>
        <w:pStyle w:val="4"/>
        <w:jc w:val="left"/>
        <w:rPr>
          <w:rFonts w:hint="default" w:ascii="仿宋_GB2312" w:hAnsi="微软雅黑" w:eastAsia="仿宋_GB2312" w:cs="仿宋_GB2312"/>
          <w:i w:val="0"/>
          <w:iCs w:val="0"/>
          <w:caps w:val="0"/>
          <w:color w:val="000000"/>
          <w:spacing w:val="0"/>
          <w:kern w:val="0"/>
          <w:sz w:val="32"/>
          <w:szCs w:val="32"/>
          <w:lang w:val="en-US" w:eastAsia="zh-CN" w:bidi="ar"/>
        </w:rPr>
      </w:pPr>
      <w:r>
        <w:rPr>
          <w:rFonts w:hint="eastAsia" w:ascii="仿宋" w:hAnsi="仿宋" w:eastAsia="仿宋" w:cs="仿宋"/>
          <w:b/>
          <w:bCs/>
          <w:color w:val="000000" w:themeColor="text1"/>
          <w:sz w:val="32"/>
          <w:szCs w:val="32"/>
          <w:highlight w:val="none"/>
          <w:vertAlign w:val="baseline"/>
          <w:lang w:val="en-US" w:eastAsia="zh-CN"/>
          <w14:textFill>
            <w14:solidFill>
              <w14:schemeClr w14:val="tx1"/>
            </w14:solidFill>
          </w14:textFill>
        </w:rPr>
        <w:t>项目名称：</w:t>
      </w:r>
      <w:r>
        <w:rPr>
          <w:rFonts w:hint="eastAsia" w:ascii="仿宋_GB2312" w:hAnsi="微软雅黑" w:eastAsia="仿宋_GB2312" w:cs="仿宋_GB2312"/>
          <w:i w:val="0"/>
          <w:iCs w:val="0"/>
          <w:caps w:val="0"/>
          <w:color w:val="000000"/>
          <w:spacing w:val="0"/>
          <w:kern w:val="0"/>
          <w:sz w:val="32"/>
          <w:szCs w:val="32"/>
          <w:lang w:val="en-US" w:eastAsia="zh-CN" w:bidi="ar"/>
        </w:rPr>
        <w:t>山东省第二康复医院医养中心智慧消防采购项目</w:t>
      </w:r>
    </w:p>
    <w:p w14:paraId="3462A9CD">
      <w:pPr>
        <w:pStyle w:val="4"/>
        <w:jc w:val="left"/>
        <w:rPr>
          <w:rFonts w:hint="default" w:ascii="仿宋_GB2312" w:hAnsi="微软雅黑" w:eastAsia="仿宋_GB2312" w:cs="仿宋_GB2312"/>
          <w:i w:val="0"/>
          <w:iCs w:val="0"/>
          <w:caps w:val="0"/>
          <w:color w:val="000000"/>
          <w:spacing w:val="0"/>
          <w:kern w:val="0"/>
          <w:sz w:val="22"/>
          <w:szCs w:val="22"/>
          <w:lang w:val="en-US" w:eastAsia="zh-CN" w:bidi="ar"/>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9"/>
        <w:gridCol w:w="6390"/>
      </w:tblGrid>
      <w:tr w14:paraId="7045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129" w:type="dxa"/>
            <w:vAlign w:val="center"/>
          </w:tcPr>
          <w:p w14:paraId="1E7A7068">
            <w:pPr>
              <w:pStyle w:val="4"/>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单位名称</w:t>
            </w:r>
          </w:p>
        </w:tc>
        <w:tc>
          <w:tcPr>
            <w:tcW w:w="6390" w:type="dxa"/>
            <w:vAlign w:val="center"/>
          </w:tcPr>
          <w:p w14:paraId="423E9F03">
            <w:pPr>
              <w:pStyle w:val="4"/>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7D9D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129" w:type="dxa"/>
            <w:vAlign w:val="center"/>
          </w:tcPr>
          <w:p w14:paraId="28F0C3DE">
            <w:pPr>
              <w:pStyle w:val="4"/>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联系人</w:t>
            </w:r>
          </w:p>
        </w:tc>
        <w:tc>
          <w:tcPr>
            <w:tcW w:w="6390" w:type="dxa"/>
            <w:vAlign w:val="center"/>
          </w:tcPr>
          <w:p w14:paraId="0B9DD74A">
            <w:pPr>
              <w:pStyle w:val="4"/>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0F19F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129" w:type="dxa"/>
            <w:vAlign w:val="center"/>
          </w:tcPr>
          <w:p w14:paraId="7F0F5104">
            <w:pPr>
              <w:pStyle w:val="4"/>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联系方式</w:t>
            </w:r>
          </w:p>
        </w:tc>
        <w:tc>
          <w:tcPr>
            <w:tcW w:w="6390" w:type="dxa"/>
            <w:vAlign w:val="center"/>
          </w:tcPr>
          <w:p w14:paraId="0788303B">
            <w:pPr>
              <w:pStyle w:val="4"/>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432EC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129" w:type="dxa"/>
            <w:vAlign w:val="center"/>
          </w:tcPr>
          <w:p w14:paraId="7788B42A">
            <w:pPr>
              <w:pStyle w:val="4"/>
              <w:jc w:val="center"/>
              <w:rPr>
                <w:rFonts w:hint="default"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邮箱</w:t>
            </w:r>
          </w:p>
        </w:tc>
        <w:tc>
          <w:tcPr>
            <w:tcW w:w="6390" w:type="dxa"/>
            <w:vAlign w:val="center"/>
          </w:tcPr>
          <w:p w14:paraId="2A20704B">
            <w:pPr>
              <w:pStyle w:val="4"/>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r w14:paraId="22FB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129" w:type="dxa"/>
            <w:vAlign w:val="center"/>
          </w:tcPr>
          <w:p w14:paraId="19E50E8A">
            <w:pPr>
              <w:pStyle w:val="4"/>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地址</w:t>
            </w:r>
          </w:p>
        </w:tc>
        <w:tc>
          <w:tcPr>
            <w:tcW w:w="6390" w:type="dxa"/>
            <w:vAlign w:val="center"/>
          </w:tcPr>
          <w:p w14:paraId="4CF1F504">
            <w:pPr>
              <w:pStyle w:val="4"/>
              <w:jc w:val="center"/>
              <w:rPr>
                <w:rFonts w:hint="default" w:ascii="仿宋" w:hAnsi="仿宋" w:eastAsia="仿宋" w:cs="仿宋"/>
                <w:b w:val="0"/>
                <w:bCs w:val="0"/>
                <w:color w:val="000000" w:themeColor="text1"/>
                <w:sz w:val="24"/>
                <w:szCs w:val="24"/>
                <w:highlight w:val="none"/>
                <w:vertAlign w:val="baseline"/>
                <w:lang w:val="en-US" w:eastAsia="zh-CN"/>
                <w14:textFill>
                  <w14:solidFill>
                    <w14:schemeClr w14:val="tx1"/>
                  </w14:solidFill>
                </w14:textFill>
              </w:rPr>
            </w:pPr>
          </w:p>
        </w:tc>
      </w:tr>
    </w:tbl>
    <w:p w14:paraId="495CA885">
      <w:pPr>
        <w:pStyle w:val="4"/>
        <w:jc w:val="both"/>
        <w:rPr>
          <w:rFonts w:hint="default" w:ascii="仿宋" w:hAnsi="仿宋" w:eastAsia="仿宋" w:cs="仿宋"/>
          <w:b/>
          <w:bCs/>
          <w:color w:val="000000" w:themeColor="text1"/>
          <w:sz w:val="36"/>
          <w:szCs w:val="36"/>
          <w:highlight w:val="none"/>
          <w:vertAlign w:val="baseline"/>
          <w:lang w:val="en-US" w:eastAsia="zh-CN"/>
          <w14:textFill>
            <w14:solidFill>
              <w14:schemeClr w14:val="tx1"/>
            </w14:solidFill>
          </w14:textFill>
        </w:rPr>
      </w:pPr>
    </w:p>
    <w:p w14:paraId="0E8AF4E3">
      <w:pPr>
        <w:pStyle w:val="4"/>
        <w:jc w:val="both"/>
        <w:rPr>
          <w:rFonts w:hint="default" w:ascii="仿宋" w:hAnsi="仿宋" w:eastAsia="仿宋" w:cs="仿宋"/>
          <w:b/>
          <w:bCs/>
          <w:color w:val="000000" w:themeColor="text1"/>
          <w:sz w:val="36"/>
          <w:szCs w:val="36"/>
          <w:highlight w:val="none"/>
          <w:vertAlign w:val="baseline"/>
          <w:lang w:val="en-US" w:eastAsia="zh-CN"/>
          <w14:textFill>
            <w14:solidFill>
              <w14:schemeClr w14:val="tx1"/>
            </w14:solidFill>
          </w14:textFill>
        </w:rPr>
      </w:pPr>
    </w:p>
    <w:p w14:paraId="404920F7">
      <w:pPr>
        <w:pStyle w:val="4"/>
        <w:jc w:val="both"/>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pPr>
      <w:r>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t>单位名称（公章）：</w:t>
      </w:r>
    </w:p>
    <w:p w14:paraId="3F75954E">
      <w:pPr>
        <w:pStyle w:val="4"/>
        <w:jc w:val="both"/>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pPr>
    </w:p>
    <w:p w14:paraId="7C9EA123">
      <w:pPr>
        <w:pStyle w:val="4"/>
        <w:jc w:val="both"/>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pPr>
    </w:p>
    <w:p w14:paraId="227B5574">
      <w:pPr>
        <w:pStyle w:val="4"/>
        <w:jc w:val="both"/>
        <w:rPr>
          <w:rFonts w:hint="default"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sectPr>
          <w:pgSz w:w="11906" w:h="16838"/>
          <w:pgMar w:top="1270" w:right="1800" w:bottom="1270" w:left="1800" w:header="851" w:footer="992" w:gutter="0"/>
          <w:cols w:space="425" w:num="1"/>
          <w:docGrid w:type="lines" w:linePitch="312" w:charSpace="0"/>
        </w:sectPr>
      </w:pPr>
      <w:r>
        <w:rPr>
          <w:rFonts w:hint="eastAsia" w:ascii="仿宋" w:hAnsi="仿宋" w:eastAsia="仿宋" w:cs="仿宋"/>
          <w:b w:val="0"/>
          <w:bCs w:val="0"/>
          <w:color w:val="000000" w:themeColor="text1"/>
          <w:sz w:val="28"/>
          <w:szCs w:val="28"/>
          <w:highlight w:val="none"/>
          <w:vertAlign w:val="baseline"/>
          <w:lang w:val="en-US" w:eastAsia="zh-CN"/>
          <w14:textFill>
            <w14:solidFill>
              <w14:schemeClr w14:val="tx1"/>
            </w14:solidFill>
          </w14:textFill>
        </w:rPr>
        <w:t>日期：       年     月    日</w:t>
      </w:r>
    </w:p>
    <w:p w14:paraId="3F5FE021">
      <w:pPr>
        <w:pStyle w:val="2"/>
        <w:rPr>
          <w:rFonts w:hint="default"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附件2：要求</w:t>
      </w:r>
    </w:p>
    <w:p w14:paraId="26F94535">
      <w:pPr>
        <w:pStyle w:val="2"/>
        <w:numPr>
          <w:ilvl w:val="0"/>
          <w:numId w:val="0"/>
        </w:numPr>
        <w:jc w:val="center"/>
        <w:rPr>
          <w:rFonts w:hint="default"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kern w:val="2"/>
          <w:sz w:val="32"/>
          <w:szCs w:val="32"/>
          <w:lang w:val="en-US" w:eastAsia="zh-CN" w:bidi="ar-SA"/>
          <w14:textFill>
            <w14:solidFill>
              <w14:schemeClr w14:val="tx1"/>
            </w14:solidFill>
          </w14:textFill>
        </w:rPr>
        <w:t>第一部分</w:t>
      </w: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 xml:space="preserve"> 采购需求</w:t>
      </w:r>
    </w:p>
    <w:p w14:paraId="348DEC99">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0" w:leftChars="0" w:firstLine="562" w:firstLineChars="200"/>
        <w:jc w:val="both"/>
        <w:textAlignment w:val="auto"/>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一、项目概况</w:t>
      </w:r>
    </w:p>
    <w:p w14:paraId="5DA3E092">
      <w:pPr>
        <w:pStyle w:val="3"/>
        <w:keepNext w:val="0"/>
        <w:keepLines w:val="0"/>
        <w:pageBreakBefore w:val="0"/>
        <w:kinsoku/>
        <w:wordWrap/>
        <w:overflowPunct/>
        <w:topLinePunct w:val="0"/>
        <w:autoSpaceDE/>
        <w:autoSpaceDN/>
        <w:bidi w:val="0"/>
        <w:adjustRightInd/>
        <w:snapToGrid/>
        <w:spacing w:line="240" w:lineRule="auto"/>
        <w:ind w:firstLine="56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8"/>
          <w:szCs w:val="28"/>
          <w:lang w:val="en-US" w:eastAsia="zh-CN"/>
        </w:rPr>
        <w:t>本项目为山东省第二康复医院医养中心智慧消防采购，医养中心建筑面积2790平方米，楼层三层，本项目由组合式电器火灾监控探测、消防用水无线压力检测、消防用水无线液位检测、用户信息传输、NFC巡检、中控室脱岗离岗识别、火焰识别组成，系统采取短信、电话等方式给医养中心（养老机构）负责人进行预警，并与市民政部门联动。</w:t>
      </w:r>
    </w:p>
    <w:p w14:paraId="4E8375BC">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562" w:firstLineChars="200"/>
        <w:jc w:val="both"/>
        <w:textAlignment w:val="auto"/>
        <w:rPr>
          <w:rFonts w:hint="eastAsia" w:ascii="仿宋_GB2312" w:hAnsi="仿宋_GB2312" w:eastAsia="仿宋_GB2312" w:cs="仿宋_GB2312"/>
          <w:b/>
          <w:bCs/>
          <w:color w:val="000000"/>
          <w:kern w:val="0"/>
          <w:sz w:val="28"/>
          <w:szCs w:val="28"/>
          <w:lang w:val="en-US" w:eastAsia="zh-CN" w:bidi="ar"/>
        </w:rPr>
      </w:pPr>
      <w:r>
        <w:rPr>
          <w:rFonts w:hint="eastAsia" w:ascii="仿宋_GB2312" w:hAnsi="仿宋_GB2312" w:eastAsia="仿宋_GB2312" w:cs="仿宋_GB2312"/>
          <w:b/>
          <w:bCs/>
          <w:color w:val="000000"/>
          <w:kern w:val="0"/>
          <w:sz w:val="28"/>
          <w:szCs w:val="28"/>
          <w:lang w:val="en-US" w:eastAsia="zh-CN" w:bidi="ar"/>
        </w:rPr>
        <w:t>服务要求</w:t>
      </w:r>
    </w:p>
    <w:tbl>
      <w:tblPr>
        <w:tblStyle w:val="5"/>
        <w:tblW w:w="5336" w:type="pct"/>
        <w:tblInd w:w="0" w:type="dxa"/>
        <w:tblLayout w:type="fixed"/>
        <w:tblCellMar>
          <w:top w:w="0" w:type="dxa"/>
          <w:left w:w="108" w:type="dxa"/>
          <w:bottom w:w="0" w:type="dxa"/>
          <w:right w:w="108" w:type="dxa"/>
        </w:tblCellMar>
      </w:tblPr>
      <w:tblGrid>
        <w:gridCol w:w="636"/>
        <w:gridCol w:w="2673"/>
        <w:gridCol w:w="5786"/>
      </w:tblGrid>
      <w:tr w14:paraId="10986897">
        <w:tblPrEx>
          <w:tblCellMar>
            <w:top w:w="0" w:type="dxa"/>
            <w:left w:w="108" w:type="dxa"/>
            <w:bottom w:w="0" w:type="dxa"/>
            <w:right w:w="108" w:type="dxa"/>
          </w:tblCellMar>
        </w:tblPrEx>
        <w:trPr>
          <w:trHeight w:val="23" w:hRule="atLeast"/>
        </w:trPr>
        <w:tc>
          <w:tcPr>
            <w:tcW w:w="34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6DBE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4"/>
                <w:szCs w:val="24"/>
                <w:lang w:val="en-US" w:eastAsia="zh-CN"/>
              </w:rPr>
            </w:pPr>
            <w:r>
              <w:rPr>
                <w:rFonts w:hint="eastAsia" w:ascii="仿宋" w:hAnsi="仿宋" w:eastAsia="仿宋" w:cs="仿宋"/>
                <w:b/>
                <w:bCs/>
                <w:kern w:val="0"/>
                <w:sz w:val="24"/>
                <w:szCs w:val="24"/>
                <w:lang w:val="en-US" w:eastAsia="zh-CN"/>
              </w:rPr>
              <w:t>序号</w:t>
            </w:r>
          </w:p>
        </w:tc>
        <w:tc>
          <w:tcPr>
            <w:tcW w:w="1469" w:type="pct"/>
            <w:tcBorders>
              <w:top w:val="single" w:color="auto" w:sz="4" w:space="0"/>
              <w:left w:val="nil"/>
              <w:bottom w:val="single" w:color="auto" w:sz="4" w:space="0"/>
              <w:right w:val="single" w:color="auto" w:sz="4" w:space="0"/>
            </w:tcBorders>
            <w:shd w:val="clear" w:color="auto" w:fill="auto"/>
            <w:noWrap/>
            <w:vAlign w:val="center"/>
          </w:tcPr>
          <w:p w14:paraId="378888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4"/>
                <w:szCs w:val="24"/>
              </w:rPr>
            </w:pPr>
            <w:r>
              <w:rPr>
                <w:rFonts w:hint="eastAsia" w:ascii="仿宋" w:hAnsi="仿宋" w:eastAsia="仿宋" w:cs="仿宋"/>
                <w:b/>
                <w:bCs/>
                <w:kern w:val="0"/>
                <w:sz w:val="24"/>
                <w:szCs w:val="24"/>
              </w:rPr>
              <w:t>名称</w:t>
            </w:r>
          </w:p>
        </w:tc>
        <w:tc>
          <w:tcPr>
            <w:tcW w:w="3180" w:type="pct"/>
            <w:tcBorders>
              <w:top w:val="single" w:color="auto" w:sz="4" w:space="0"/>
              <w:left w:val="nil"/>
              <w:bottom w:val="single" w:color="auto" w:sz="4" w:space="0"/>
              <w:right w:val="single" w:color="auto" w:sz="4" w:space="0"/>
            </w:tcBorders>
            <w:shd w:val="clear" w:color="auto" w:fill="auto"/>
            <w:noWrap/>
            <w:vAlign w:val="center"/>
          </w:tcPr>
          <w:p w14:paraId="0F3BCB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kern w:val="0"/>
                <w:sz w:val="24"/>
                <w:szCs w:val="24"/>
              </w:rPr>
            </w:pPr>
            <w:r>
              <w:rPr>
                <w:rFonts w:hint="eastAsia" w:ascii="仿宋" w:hAnsi="仿宋" w:eastAsia="仿宋" w:cs="仿宋"/>
                <w:b/>
                <w:bCs/>
                <w:kern w:val="0"/>
                <w:sz w:val="24"/>
                <w:szCs w:val="24"/>
              </w:rPr>
              <w:t>设备功能</w:t>
            </w:r>
          </w:p>
        </w:tc>
      </w:tr>
      <w:tr w14:paraId="40064124">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332EC68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469" w:type="pct"/>
            <w:tcBorders>
              <w:top w:val="nil"/>
              <w:left w:val="nil"/>
              <w:bottom w:val="single" w:color="auto" w:sz="4" w:space="0"/>
              <w:right w:val="single" w:color="auto" w:sz="4" w:space="0"/>
            </w:tcBorders>
            <w:shd w:val="clear" w:color="auto" w:fill="auto"/>
            <w:noWrap/>
            <w:vAlign w:val="center"/>
          </w:tcPr>
          <w:p w14:paraId="75FC8B1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组合式电气火灾监控探测器</w:t>
            </w:r>
          </w:p>
        </w:tc>
        <w:tc>
          <w:tcPr>
            <w:tcW w:w="3180" w:type="pct"/>
            <w:tcBorders>
              <w:top w:val="single" w:color="auto" w:sz="4" w:space="0"/>
              <w:left w:val="nil"/>
              <w:bottom w:val="single" w:color="auto" w:sz="4" w:space="0"/>
              <w:right w:val="single" w:color="000000" w:sz="4" w:space="0"/>
            </w:tcBorders>
            <w:shd w:val="clear" w:color="auto" w:fill="auto"/>
            <w:vAlign w:val="center"/>
          </w:tcPr>
          <w:p w14:paraId="0568BE7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通过在养老机构配电柜中安装智慧用电传感器，能够实时监测线路里面的电压、电流、线缆温度、漏电的实时数据，一旦线缆中出现线缆温</w:t>
            </w:r>
            <w:r>
              <w:rPr>
                <w:rFonts w:hint="eastAsia" w:ascii="仿宋" w:hAnsi="仿宋" w:eastAsia="仿宋" w:cs="仿宋"/>
                <w:color w:val="auto"/>
                <w:kern w:val="0"/>
                <w:sz w:val="24"/>
                <w:szCs w:val="24"/>
              </w:rPr>
              <w:t>度过高（超过70度即可触发报警）、超负荷用电（电流报警根据现场断路器额定电流确定）、漏电等隐患，系统会第</w:t>
            </w:r>
            <w:r>
              <w:rPr>
                <w:rFonts w:hint="eastAsia" w:ascii="仿宋" w:hAnsi="仿宋" w:eastAsia="仿宋" w:cs="仿宋"/>
                <w:color w:val="000000"/>
                <w:kern w:val="0"/>
                <w:sz w:val="24"/>
                <w:szCs w:val="24"/>
              </w:rPr>
              <w:t>一时间通过短信、电话通知相关责任人。解决当前机构没有电工，电气火灾比较隐蔽，无法及时发现处置的问题。</w:t>
            </w:r>
          </w:p>
        </w:tc>
      </w:tr>
      <w:tr w14:paraId="00FC0D44">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380F74A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469" w:type="pct"/>
            <w:tcBorders>
              <w:top w:val="nil"/>
              <w:left w:val="nil"/>
              <w:bottom w:val="single" w:color="auto" w:sz="4" w:space="0"/>
              <w:right w:val="single" w:color="auto" w:sz="4" w:space="0"/>
            </w:tcBorders>
            <w:shd w:val="clear" w:color="auto" w:fill="auto"/>
            <w:noWrap/>
            <w:vAlign w:val="center"/>
          </w:tcPr>
          <w:p w14:paraId="07F874D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消防用水无线压力监测、消防用水无线液位监测</w:t>
            </w:r>
          </w:p>
        </w:tc>
        <w:tc>
          <w:tcPr>
            <w:tcW w:w="3180" w:type="pct"/>
            <w:tcBorders>
              <w:top w:val="single" w:color="auto" w:sz="4" w:space="0"/>
              <w:left w:val="nil"/>
              <w:bottom w:val="single" w:color="auto" w:sz="4" w:space="0"/>
              <w:right w:val="single" w:color="000000" w:sz="4" w:space="0"/>
            </w:tcBorders>
            <w:shd w:val="clear" w:color="auto" w:fill="auto"/>
            <w:vAlign w:val="center"/>
          </w:tcPr>
          <w:p w14:paraId="2C61C83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通过在养老机构消防水箱、消防水池、喷淋末端、消火栓压力最不利点安装传感器，实时监测消防水管网水压（低于0.05Mpa即触发报警）、水位（根据水箱/水池长宽高确定）等数据，如漏水等问题可第一时间报警，确保一旦起火，管网有水可用。解决当前机构消防水管网没有水、检查水管网效率低的问题。</w:t>
            </w:r>
          </w:p>
        </w:tc>
      </w:tr>
      <w:tr w14:paraId="0A1C4C18">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3681E4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469" w:type="pct"/>
            <w:tcBorders>
              <w:top w:val="nil"/>
              <w:left w:val="nil"/>
              <w:bottom w:val="single" w:color="auto" w:sz="4" w:space="0"/>
              <w:right w:val="single" w:color="auto" w:sz="4" w:space="0"/>
            </w:tcBorders>
            <w:shd w:val="clear" w:color="auto" w:fill="auto"/>
            <w:noWrap/>
            <w:vAlign w:val="center"/>
          </w:tcPr>
          <w:p w14:paraId="0775BC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用户信息传输装置</w:t>
            </w:r>
          </w:p>
        </w:tc>
        <w:tc>
          <w:tcPr>
            <w:tcW w:w="3180" w:type="pct"/>
            <w:tcBorders>
              <w:top w:val="single" w:color="auto" w:sz="4" w:space="0"/>
              <w:left w:val="nil"/>
              <w:bottom w:val="single" w:color="auto" w:sz="4" w:space="0"/>
              <w:right w:val="single" w:color="000000" w:sz="4" w:space="0"/>
            </w:tcBorders>
            <w:shd w:val="clear" w:color="auto" w:fill="auto"/>
            <w:vAlign w:val="center"/>
          </w:tcPr>
          <w:p w14:paraId="2121F5E2">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通过在养老机构消防控制室报警主机安装监听设备，可以将现场的消防报警主机的火警、故障信息即时上传，机构安全管理人通过手机电脑实时查看消防设施运转状态，不用单独再到消防控制室查看，实现火警、故障信息的全掌握。同时，部分省份地方消防条例已经将运用智慧消防的企业单位可实现1人值班，大大减轻了企业单位的人工成本。</w:t>
            </w:r>
          </w:p>
        </w:tc>
      </w:tr>
      <w:tr w14:paraId="200613A7">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13CF788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469" w:type="pct"/>
            <w:tcBorders>
              <w:top w:val="nil"/>
              <w:left w:val="nil"/>
              <w:bottom w:val="single" w:color="auto" w:sz="4" w:space="0"/>
              <w:right w:val="single" w:color="auto" w:sz="4" w:space="0"/>
            </w:tcBorders>
            <w:shd w:val="clear" w:color="auto" w:fill="auto"/>
            <w:noWrap/>
            <w:vAlign w:val="center"/>
          </w:tcPr>
          <w:p w14:paraId="080C7B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NFC巡检标签</w:t>
            </w:r>
          </w:p>
        </w:tc>
        <w:tc>
          <w:tcPr>
            <w:tcW w:w="3180" w:type="pct"/>
            <w:tcBorders>
              <w:top w:val="single" w:color="auto" w:sz="4" w:space="0"/>
              <w:left w:val="nil"/>
              <w:bottom w:val="single" w:color="auto" w:sz="4" w:space="0"/>
              <w:right w:val="single" w:color="000000" w:sz="4" w:space="0"/>
            </w:tcBorders>
            <w:shd w:val="clear" w:color="auto" w:fill="auto"/>
            <w:vAlign w:val="center"/>
          </w:tcPr>
          <w:p w14:paraId="75D9700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通过在养老机构的巡查路线上设置巡查检查点，张贴射频芯片，利用手机NFC功能，使机构巡查人员可以拿着手机到现场感应芯片，系统即会记录当前巡查时间上传系统，同时手机也会显示该消防设施的检查标准与检查方法，第一起到了一个标准化的巡查检查，第二也可以起到培训的效果。如果在巡查过程中发现了隐患，也可以现场拍照快速上传，管理人员可以通过红黄绿三色可以快速查看巡查人员的任务完成情况，红色的是未检查，绿色的是已检查未发现隐患，黄色的是发现了隐患，针对巡查的隐患也可以下发整改任务，查看整改前后的照片，大大提高巡查的管理工作。改变了以往纸质版的巡查方式，杜绝了一次多签，事后补签的问题，提高了巡查检查率，也常态化提高了机构消防安全意识。</w:t>
            </w:r>
          </w:p>
        </w:tc>
      </w:tr>
      <w:tr w14:paraId="7D342741">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127EBAA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469" w:type="pct"/>
            <w:tcBorders>
              <w:top w:val="nil"/>
              <w:left w:val="nil"/>
              <w:bottom w:val="single" w:color="auto" w:sz="4" w:space="0"/>
              <w:right w:val="single" w:color="auto" w:sz="4" w:space="0"/>
            </w:tcBorders>
            <w:shd w:val="clear" w:color="auto" w:fill="auto"/>
            <w:noWrap/>
            <w:vAlign w:val="center"/>
          </w:tcPr>
          <w:p w14:paraId="5845F1F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脱岗离岗识别设备</w:t>
            </w:r>
          </w:p>
        </w:tc>
        <w:tc>
          <w:tcPr>
            <w:tcW w:w="3180" w:type="pct"/>
            <w:tcBorders>
              <w:top w:val="single" w:color="auto" w:sz="4" w:space="0"/>
              <w:left w:val="nil"/>
              <w:bottom w:val="single" w:color="auto" w:sz="4" w:space="0"/>
              <w:right w:val="single" w:color="000000" w:sz="4" w:space="0"/>
            </w:tcBorders>
            <w:shd w:val="clear" w:color="auto" w:fill="auto"/>
            <w:vAlign w:val="center"/>
          </w:tcPr>
          <w:p w14:paraId="5EC349C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通过在养老机构的消防控制室等重点部位安装智能分析摄像头，可实现视频联动与自动预警，能识别脱岗离岗（半小时不在岗位即进行报警）等情况报警。变以往的普通监控需要人员值守，出现问题后再去调监控为时已晚，重点部位可视化监控，能够及时预警，方便机构及时将隐患整改。</w:t>
            </w:r>
          </w:p>
        </w:tc>
      </w:tr>
      <w:tr w14:paraId="2C69A3DC">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0209A39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1469" w:type="pct"/>
            <w:tcBorders>
              <w:top w:val="nil"/>
              <w:left w:val="nil"/>
              <w:bottom w:val="single" w:color="auto" w:sz="4" w:space="0"/>
              <w:right w:val="single" w:color="auto" w:sz="4" w:space="0"/>
            </w:tcBorders>
            <w:shd w:val="clear" w:color="auto" w:fill="auto"/>
            <w:noWrap/>
            <w:vAlign w:val="center"/>
          </w:tcPr>
          <w:p w14:paraId="2498AE9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r>
              <w:rPr>
                <w:rFonts w:hint="eastAsia" w:ascii="仿宋" w:hAnsi="仿宋" w:eastAsia="仿宋" w:cs="仿宋"/>
                <w:kern w:val="0"/>
                <w:sz w:val="24"/>
                <w:szCs w:val="24"/>
              </w:rPr>
              <w:t>火焰识别设备</w:t>
            </w:r>
          </w:p>
        </w:tc>
        <w:tc>
          <w:tcPr>
            <w:tcW w:w="3180" w:type="pct"/>
            <w:tcBorders>
              <w:top w:val="single" w:color="auto" w:sz="4" w:space="0"/>
              <w:left w:val="nil"/>
              <w:bottom w:val="single" w:color="auto" w:sz="4" w:space="0"/>
              <w:right w:val="single" w:color="000000" w:sz="4" w:space="0"/>
            </w:tcBorders>
            <w:shd w:val="clear" w:color="auto" w:fill="auto"/>
            <w:vAlign w:val="center"/>
          </w:tcPr>
          <w:p w14:paraId="759C809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通过在养老机构的大厅等重点部位安装智能分析摄像头，可实现视频联动与自动预警，能识别火焰等情况报警。变以往的普通监控需要人员值守，出现问题后再去调监控为时已晚，重点部位可视化监控，能够及时预警，方便机构及时将隐患整改，防止火灾的发生。</w:t>
            </w:r>
          </w:p>
        </w:tc>
      </w:tr>
      <w:tr w14:paraId="30068D0B">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57A56DD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p>
        </w:tc>
        <w:tc>
          <w:tcPr>
            <w:tcW w:w="4650" w:type="pct"/>
            <w:gridSpan w:val="2"/>
            <w:tcBorders>
              <w:top w:val="single" w:color="auto" w:sz="4" w:space="0"/>
              <w:left w:val="nil"/>
              <w:bottom w:val="single" w:color="auto" w:sz="4" w:space="0"/>
              <w:right w:val="single" w:color="000000" w:sz="4" w:space="0"/>
            </w:tcBorders>
            <w:shd w:val="clear" w:color="auto" w:fill="auto"/>
            <w:vAlign w:val="center"/>
          </w:tcPr>
          <w:p w14:paraId="7AC33F2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备注：系统都会采取短信、电话等方式给养老机构负责人进行预警，提高隐患发现能力。就算机构负责人不在机构，外出在家均可实时接收消防报警信息。</w:t>
            </w:r>
          </w:p>
        </w:tc>
      </w:tr>
      <w:tr w14:paraId="5BA39BC8">
        <w:tblPrEx>
          <w:tblCellMar>
            <w:top w:w="0" w:type="dxa"/>
            <w:left w:w="108" w:type="dxa"/>
            <w:bottom w:w="0" w:type="dxa"/>
            <w:right w:w="108" w:type="dxa"/>
          </w:tblCellMar>
        </w:tblPrEx>
        <w:trPr>
          <w:trHeight w:val="23" w:hRule="atLeast"/>
        </w:trPr>
        <w:tc>
          <w:tcPr>
            <w:tcW w:w="349" w:type="pct"/>
            <w:tcBorders>
              <w:top w:val="nil"/>
              <w:left w:val="single" w:color="auto" w:sz="4" w:space="0"/>
              <w:bottom w:val="single" w:color="auto" w:sz="4" w:space="0"/>
              <w:right w:val="single" w:color="auto" w:sz="4" w:space="0"/>
            </w:tcBorders>
            <w:shd w:val="clear" w:color="auto" w:fill="auto"/>
            <w:noWrap/>
            <w:vAlign w:val="center"/>
          </w:tcPr>
          <w:p w14:paraId="753B0B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kern w:val="0"/>
                <w:sz w:val="24"/>
                <w:szCs w:val="24"/>
              </w:rPr>
            </w:pPr>
          </w:p>
        </w:tc>
        <w:tc>
          <w:tcPr>
            <w:tcW w:w="4650" w:type="pct"/>
            <w:gridSpan w:val="2"/>
            <w:tcBorders>
              <w:top w:val="single" w:color="auto" w:sz="4" w:space="0"/>
              <w:left w:val="nil"/>
              <w:bottom w:val="single" w:color="auto" w:sz="4" w:space="0"/>
              <w:right w:val="single" w:color="000000" w:sz="4" w:space="0"/>
            </w:tcBorders>
            <w:shd w:val="clear" w:color="auto" w:fill="auto"/>
            <w:vAlign w:val="center"/>
          </w:tcPr>
          <w:p w14:paraId="140942C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成效价值：为养老机构</w:t>
            </w:r>
            <w:r>
              <w:rPr>
                <w:rFonts w:hint="eastAsia" w:ascii="仿宋" w:hAnsi="仿宋" w:eastAsia="仿宋" w:cs="仿宋"/>
                <w:kern w:val="0"/>
                <w:sz w:val="24"/>
                <w:szCs w:val="24"/>
              </w:rPr>
              <w:br w:type="textWrapping"/>
            </w:r>
            <w:r>
              <w:rPr>
                <w:rFonts w:hint="eastAsia" w:ascii="仿宋" w:hAnsi="仿宋" w:eastAsia="仿宋" w:cs="仿宋"/>
                <w:kern w:val="0"/>
                <w:sz w:val="24"/>
                <w:szCs w:val="24"/>
              </w:rPr>
              <w:t>1、提高机构的消防意识，落实每天进行消防巡查检查职责；</w:t>
            </w:r>
            <w:r>
              <w:rPr>
                <w:rFonts w:hint="eastAsia" w:ascii="仿宋" w:hAnsi="仿宋" w:eastAsia="仿宋" w:cs="仿宋"/>
                <w:kern w:val="0"/>
                <w:sz w:val="24"/>
                <w:szCs w:val="24"/>
              </w:rPr>
              <w:br w:type="textWrapping"/>
            </w:r>
            <w:r>
              <w:rPr>
                <w:rFonts w:hint="eastAsia" w:ascii="仿宋" w:hAnsi="仿宋" w:eastAsia="仿宋" w:cs="仿宋"/>
                <w:kern w:val="0"/>
                <w:sz w:val="24"/>
                <w:szCs w:val="24"/>
              </w:rPr>
              <w:t>2、及时预警各类消防隐患，提高机构隐患的发现能力；</w:t>
            </w:r>
            <w:r>
              <w:rPr>
                <w:rFonts w:hint="eastAsia" w:ascii="仿宋" w:hAnsi="仿宋" w:eastAsia="仿宋" w:cs="仿宋"/>
                <w:kern w:val="0"/>
                <w:sz w:val="24"/>
                <w:szCs w:val="24"/>
              </w:rPr>
              <w:br w:type="textWrapping"/>
            </w:r>
            <w:r>
              <w:rPr>
                <w:rFonts w:hint="eastAsia" w:ascii="仿宋" w:hAnsi="仿宋" w:eastAsia="仿宋" w:cs="仿宋"/>
                <w:kern w:val="0"/>
                <w:sz w:val="24"/>
                <w:szCs w:val="24"/>
              </w:rPr>
              <w:t>3、实现高效消防管理，落实好消防安全主体责任。</w:t>
            </w:r>
            <w:r>
              <w:rPr>
                <w:rFonts w:hint="eastAsia" w:ascii="仿宋" w:hAnsi="仿宋" w:eastAsia="仿宋" w:cs="仿宋"/>
                <w:kern w:val="0"/>
                <w:sz w:val="24"/>
                <w:szCs w:val="24"/>
              </w:rPr>
              <w:br w:type="textWrapping"/>
            </w:r>
            <w:r>
              <w:rPr>
                <w:rFonts w:hint="eastAsia" w:ascii="仿宋" w:hAnsi="仿宋" w:eastAsia="仿宋" w:cs="仿宋"/>
                <w:kern w:val="0"/>
                <w:sz w:val="24"/>
                <w:szCs w:val="24"/>
              </w:rPr>
              <w:t>成效价值：为地市民政局</w:t>
            </w:r>
            <w:r>
              <w:rPr>
                <w:rFonts w:hint="eastAsia" w:ascii="仿宋" w:hAnsi="仿宋" w:eastAsia="仿宋" w:cs="仿宋"/>
                <w:kern w:val="0"/>
                <w:sz w:val="24"/>
                <w:szCs w:val="24"/>
              </w:rPr>
              <w:br w:type="textWrapping"/>
            </w:r>
            <w:r>
              <w:rPr>
                <w:rFonts w:hint="eastAsia" w:ascii="仿宋" w:hAnsi="仿宋" w:eastAsia="仿宋" w:cs="仿宋"/>
                <w:kern w:val="0"/>
                <w:sz w:val="24"/>
                <w:szCs w:val="24"/>
              </w:rPr>
              <w:t>1、利用系统作为抓手，实时掌握查看辖区内各养老机构消防履责情况；</w:t>
            </w:r>
            <w:r>
              <w:rPr>
                <w:rFonts w:hint="eastAsia" w:ascii="仿宋" w:hAnsi="仿宋" w:eastAsia="仿宋" w:cs="仿宋"/>
                <w:kern w:val="0"/>
                <w:sz w:val="24"/>
                <w:szCs w:val="24"/>
              </w:rPr>
              <w:br w:type="textWrapping"/>
            </w:r>
            <w:r>
              <w:rPr>
                <w:rFonts w:hint="eastAsia" w:ascii="仿宋" w:hAnsi="仿宋" w:eastAsia="仿宋" w:cs="仿宋"/>
                <w:kern w:val="0"/>
                <w:sz w:val="24"/>
                <w:szCs w:val="24"/>
              </w:rPr>
              <w:t>2、实现有针对性对未履责的机构进行督促整改隐患；</w:t>
            </w:r>
            <w:r>
              <w:rPr>
                <w:rFonts w:hint="eastAsia" w:ascii="仿宋" w:hAnsi="仿宋" w:eastAsia="仿宋" w:cs="仿宋"/>
                <w:kern w:val="0"/>
                <w:sz w:val="24"/>
                <w:szCs w:val="24"/>
              </w:rPr>
              <w:br w:type="textWrapping"/>
            </w:r>
            <w:r>
              <w:rPr>
                <w:rFonts w:hint="eastAsia" w:ascii="仿宋" w:hAnsi="仿宋" w:eastAsia="仿宋" w:cs="仿宋"/>
                <w:kern w:val="0"/>
                <w:sz w:val="24"/>
                <w:szCs w:val="24"/>
              </w:rPr>
              <w:t>3、提高了监管效率，实现了闭环监管。</w:t>
            </w:r>
          </w:p>
        </w:tc>
      </w:tr>
    </w:tbl>
    <w:p w14:paraId="2AE506C5">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562" w:firstLineChars="200"/>
        <w:jc w:val="both"/>
        <w:textAlignment w:val="auto"/>
        <w:rPr>
          <w:rFonts w:hint="eastAsia" w:ascii="仿宋_GB2312" w:hAnsi="仿宋_GB2312" w:eastAsia="仿宋_GB2312" w:cs="仿宋_GB2312"/>
          <w:b/>
          <w:bCs/>
          <w:color w:val="auto"/>
          <w:kern w:val="0"/>
          <w:sz w:val="28"/>
          <w:szCs w:val="28"/>
          <w:highlight w:val="none"/>
          <w:lang w:val="en-US" w:eastAsia="zh-CN" w:bidi="ar"/>
        </w:rPr>
      </w:pPr>
      <w:r>
        <w:rPr>
          <w:rFonts w:hint="eastAsia" w:ascii="仿宋_GB2312" w:hAnsi="仿宋_GB2312" w:eastAsia="仿宋_GB2312" w:cs="仿宋_GB2312"/>
          <w:b/>
          <w:bCs/>
          <w:color w:val="auto"/>
          <w:kern w:val="0"/>
          <w:sz w:val="28"/>
          <w:szCs w:val="28"/>
          <w:highlight w:val="none"/>
          <w:lang w:val="en-US" w:eastAsia="zh-CN" w:bidi="ar"/>
        </w:rPr>
        <w:t>付款方式</w:t>
      </w:r>
    </w:p>
    <w:p w14:paraId="79D3E5E0">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200"/>
        <w:jc w:val="both"/>
        <w:textAlignment w:val="auto"/>
        <w:rPr>
          <w:rFonts w:hint="default" w:ascii="仿宋_GB2312" w:hAnsi="仿宋_GB2312" w:eastAsia="仿宋_GB2312" w:cs="仿宋_GB2312"/>
          <w:b w:val="0"/>
          <w:bCs w:val="0"/>
          <w:color w:val="auto"/>
          <w:kern w:val="0"/>
          <w:sz w:val="28"/>
          <w:szCs w:val="28"/>
          <w:highlight w:val="none"/>
          <w:lang w:val="en-US" w:eastAsia="zh-CN" w:bidi="ar"/>
        </w:rPr>
      </w:pPr>
      <w:r>
        <w:rPr>
          <w:rFonts w:hint="eastAsia" w:ascii="仿宋_GB2312" w:hAnsi="仿宋_GB2312" w:eastAsia="仿宋_GB2312" w:cs="仿宋_GB2312"/>
          <w:b w:val="0"/>
          <w:bCs w:val="0"/>
          <w:color w:val="auto"/>
          <w:kern w:val="0"/>
          <w:sz w:val="28"/>
          <w:szCs w:val="28"/>
          <w:highlight w:val="none"/>
          <w:lang w:val="en-US" w:eastAsia="zh-CN" w:bidi="ar"/>
        </w:rPr>
        <w:t>设备全部安装并</w:t>
      </w:r>
      <w:r>
        <w:rPr>
          <w:rFonts w:hint="default" w:ascii="仿宋_GB2312" w:hAnsi="仿宋_GB2312" w:eastAsia="仿宋_GB2312" w:cs="仿宋_GB2312"/>
          <w:b w:val="0"/>
          <w:bCs w:val="0"/>
          <w:color w:val="auto"/>
          <w:kern w:val="0"/>
          <w:sz w:val="28"/>
          <w:szCs w:val="28"/>
          <w:highlight w:val="none"/>
          <w:lang w:val="en-US" w:eastAsia="zh-CN" w:bidi="ar"/>
        </w:rPr>
        <w:t>验收合格后付至合同总额的</w:t>
      </w:r>
      <w:r>
        <w:rPr>
          <w:rFonts w:hint="eastAsia" w:ascii="仿宋_GB2312" w:hAnsi="仿宋_GB2312" w:eastAsia="仿宋_GB2312" w:cs="仿宋_GB2312"/>
          <w:b w:val="0"/>
          <w:bCs w:val="0"/>
          <w:color w:val="auto"/>
          <w:kern w:val="0"/>
          <w:sz w:val="28"/>
          <w:szCs w:val="28"/>
          <w:highlight w:val="none"/>
          <w:lang w:val="en-US" w:eastAsia="zh-CN" w:bidi="ar"/>
        </w:rPr>
        <w:t>95</w:t>
      </w:r>
      <w:r>
        <w:rPr>
          <w:rFonts w:hint="default" w:ascii="仿宋_GB2312" w:hAnsi="仿宋_GB2312" w:eastAsia="仿宋_GB2312" w:cs="仿宋_GB2312"/>
          <w:b w:val="0"/>
          <w:bCs w:val="0"/>
          <w:color w:val="auto"/>
          <w:kern w:val="0"/>
          <w:sz w:val="28"/>
          <w:szCs w:val="28"/>
          <w:highlight w:val="none"/>
          <w:lang w:val="en-US" w:eastAsia="zh-CN" w:bidi="ar"/>
        </w:rPr>
        <w:t>%</w:t>
      </w:r>
      <w:r>
        <w:rPr>
          <w:rFonts w:hint="eastAsia" w:ascii="仿宋_GB2312" w:hAnsi="仿宋_GB2312" w:eastAsia="仿宋_GB2312" w:cs="仿宋_GB2312"/>
          <w:b w:val="0"/>
          <w:bCs w:val="0"/>
          <w:color w:val="auto"/>
          <w:kern w:val="0"/>
          <w:sz w:val="28"/>
          <w:szCs w:val="28"/>
          <w:highlight w:val="none"/>
          <w:lang w:val="en-US" w:eastAsia="zh-CN" w:bidi="ar"/>
        </w:rPr>
        <w:t>，一年后无质量问题，支付至100%</w:t>
      </w:r>
      <w:r>
        <w:rPr>
          <w:rFonts w:hint="default" w:ascii="仿宋_GB2312" w:hAnsi="仿宋_GB2312" w:eastAsia="仿宋_GB2312" w:cs="仿宋_GB2312"/>
          <w:b w:val="0"/>
          <w:bCs w:val="0"/>
          <w:color w:val="auto"/>
          <w:kern w:val="0"/>
          <w:sz w:val="28"/>
          <w:szCs w:val="28"/>
          <w:highlight w:val="none"/>
          <w:lang w:val="en-US" w:eastAsia="zh-CN" w:bidi="ar"/>
        </w:rPr>
        <w:t>。</w:t>
      </w:r>
    </w:p>
    <w:p w14:paraId="5DAF40AF">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ind w:left="0" w:leftChars="0" w:firstLine="562" w:firstLineChars="200"/>
        <w:jc w:val="both"/>
        <w:textAlignment w:val="auto"/>
        <w:rPr>
          <w:rFonts w:hint="eastAsia" w:ascii="仿宋_GB2312" w:hAnsi="仿宋_GB2312" w:eastAsia="仿宋_GB2312" w:cs="仿宋_GB2312"/>
          <w:b/>
          <w:bCs/>
          <w:color w:val="auto"/>
          <w:kern w:val="0"/>
          <w:sz w:val="28"/>
          <w:szCs w:val="28"/>
          <w:highlight w:val="none"/>
          <w:lang w:val="en-US" w:eastAsia="zh-CN" w:bidi="ar"/>
        </w:rPr>
      </w:pPr>
      <w:r>
        <w:rPr>
          <w:rFonts w:hint="eastAsia" w:ascii="仿宋_GB2312" w:hAnsi="仿宋_GB2312" w:eastAsia="仿宋_GB2312" w:cs="仿宋_GB2312"/>
          <w:b/>
          <w:bCs/>
          <w:color w:val="auto"/>
          <w:kern w:val="0"/>
          <w:sz w:val="28"/>
          <w:szCs w:val="28"/>
          <w:highlight w:val="none"/>
          <w:lang w:val="en-US" w:eastAsia="zh-CN" w:bidi="ar"/>
        </w:rPr>
        <w:t>工期</w:t>
      </w:r>
    </w:p>
    <w:p w14:paraId="106188C6">
      <w:pPr>
        <w:keepNext w:val="0"/>
        <w:keepLines w:val="0"/>
        <w:pageBreakBefore w:val="0"/>
        <w:widowControl/>
        <w:numPr>
          <w:ilvl w:val="0"/>
          <w:numId w:val="0"/>
        </w:numPr>
        <w:suppressLineNumbers w:val="0"/>
        <w:kinsoku/>
        <w:wordWrap/>
        <w:overflowPunct/>
        <w:topLinePunct w:val="0"/>
        <w:autoSpaceDE/>
        <w:autoSpaceDN/>
        <w:bidi w:val="0"/>
        <w:adjustRightInd/>
        <w:snapToGrid/>
        <w:spacing w:line="240" w:lineRule="auto"/>
        <w:ind w:leftChars="200"/>
        <w:jc w:val="both"/>
        <w:textAlignment w:val="auto"/>
        <w:rPr>
          <w:rFonts w:hint="default" w:ascii="仿宋_GB2312" w:hAnsi="仿宋_GB2312" w:eastAsia="仿宋_GB2312" w:cs="仿宋_GB2312"/>
          <w:b w:val="0"/>
          <w:bCs w:val="0"/>
          <w:color w:val="auto"/>
          <w:kern w:val="0"/>
          <w:sz w:val="28"/>
          <w:szCs w:val="28"/>
          <w:highlight w:val="none"/>
          <w:lang w:val="en-US" w:eastAsia="zh-CN" w:bidi="ar"/>
        </w:rPr>
      </w:pPr>
      <w:r>
        <w:rPr>
          <w:rFonts w:hint="eastAsia" w:ascii="仿宋_GB2312" w:hAnsi="仿宋_GB2312" w:eastAsia="仿宋_GB2312" w:cs="仿宋_GB2312"/>
          <w:b w:val="0"/>
          <w:bCs w:val="0"/>
          <w:color w:val="auto"/>
          <w:kern w:val="0"/>
          <w:sz w:val="28"/>
          <w:szCs w:val="28"/>
          <w:highlight w:val="none"/>
          <w:lang w:val="en-US" w:eastAsia="zh-CN" w:bidi="ar"/>
        </w:rPr>
        <w:t>合同签订后30日内。</w:t>
      </w:r>
    </w:p>
    <w:p w14:paraId="5130D6E0">
      <w:pP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br w:type="page"/>
      </w:r>
    </w:p>
    <w:p w14:paraId="60613093">
      <w:pPr>
        <w:pStyle w:val="2"/>
        <w:jc w:val="cente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第二部分  响应文件要求</w:t>
      </w:r>
    </w:p>
    <w:p w14:paraId="2615E7FD">
      <w:pPr>
        <w:pStyle w:val="4"/>
        <w:keepNext w:val="0"/>
        <w:keepLines w:val="0"/>
        <w:pageBreakBefore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仿宋" w:hAnsi="仿宋" w:eastAsia="仿宋" w:cs="仿宋"/>
          <w:b/>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一、内容要求</w:t>
      </w:r>
    </w:p>
    <w:p w14:paraId="13707606">
      <w:pPr>
        <w:pStyle w:val="4"/>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1.营业执照副本及相关资质证明材料（复印件加盖公章）。</w:t>
      </w:r>
    </w:p>
    <w:p w14:paraId="0C9FAE33">
      <w:pPr>
        <w:pStyle w:val="4"/>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2.法定代表人授权委托书，如法定代表人参加报价，提供法定代表人证明或身份证（复印件加盖公章）</w:t>
      </w:r>
    </w:p>
    <w:p w14:paraId="76117DDF">
      <w:pPr>
        <w:pStyle w:val="4"/>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3.承诺函（见附件3）</w:t>
      </w:r>
    </w:p>
    <w:p w14:paraId="63A5BA5E">
      <w:pPr>
        <w:pStyle w:val="4"/>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4.报价单（见附件4）</w:t>
      </w:r>
    </w:p>
    <w:p w14:paraId="0CCC624E">
      <w:pPr>
        <w:pStyle w:val="4"/>
        <w:keepNext w:val="0"/>
        <w:keepLines w:val="0"/>
        <w:pageBreakBefore w:val="0"/>
        <w:numPr>
          <w:ilvl w:val="0"/>
          <w:numId w:val="0"/>
        </w:numPr>
        <w:kinsoku/>
        <w:wordWrap/>
        <w:overflowPunct/>
        <w:topLinePunct w:val="0"/>
        <w:autoSpaceDE/>
        <w:autoSpaceDN/>
        <w:bidi w:val="0"/>
        <w:adjustRightInd/>
        <w:snapToGrid/>
        <w:spacing w:line="520" w:lineRule="exact"/>
        <w:ind w:firstLine="643" w:firstLineChars="200"/>
        <w:jc w:val="both"/>
        <w:textAlignment w:val="auto"/>
        <w:rPr>
          <w:rFonts w:hint="default" w:ascii="仿宋" w:hAnsi="仿宋" w:eastAsia="仿宋" w:cs="仿宋"/>
          <w:b/>
          <w:bCs/>
          <w:color w:val="000000" w:themeColor="text1"/>
          <w:kern w:val="2"/>
          <w:sz w:val="32"/>
          <w:szCs w:val="32"/>
          <w:highlight w:val="none"/>
          <w:lang w:val="en-US" w:eastAsia="zh-CN" w:bidi="ar-SA"/>
          <w14:textFill>
            <w14:solidFill>
              <w14:schemeClr w14:val="tx1"/>
            </w14:solidFill>
          </w14:textFill>
        </w:rPr>
      </w:pPr>
      <w:r>
        <w:rPr>
          <w:rFonts w:hint="eastAsia" w:ascii="仿宋" w:hAnsi="仿宋" w:eastAsia="仿宋" w:cs="仿宋"/>
          <w:b/>
          <w:bCs/>
          <w:color w:val="000000" w:themeColor="text1"/>
          <w:kern w:val="2"/>
          <w:sz w:val="32"/>
          <w:szCs w:val="32"/>
          <w:highlight w:val="none"/>
          <w:lang w:val="en-US" w:eastAsia="zh-CN" w:bidi="ar-SA"/>
          <w14:textFill>
            <w14:solidFill>
              <w14:schemeClr w14:val="tx1"/>
            </w14:solidFill>
          </w14:textFill>
        </w:rPr>
        <w:t>二、其他要求</w:t>
      </w:r>
    </w:p>
    <w:p w14:paraId="45E78780">
      <w:pPr>
        <w:pStyle w:val="4"/>
        <w:keepNext w:val="0"/>
        <w:keepLines w:val="0"/>
        <w:pageBreakBefore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响应文件，一式三份，建议钉装或胶装。</w:t>
      </w:r>
    </w:p>
    <w:p w14:paraId="32D48BDA">
      <w:pPr>
        <w:pStyle w:val="4"/>
        <w:keepNext w:val="0"/>
        <w:keepLines w:val="0"/>
        <w:pageBreakBefore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响应文件做好目录和页码。</w:t>
      </w:r>
    </w:p>
    <w:p w14:paraId="4C8428B3">
      <w:pPr>
        <w:pStyle w:val="4"/>
        <w:keepNext w:val="0"/>
        <w:keepLines w:val="0"/>
        <w:pageBreakBefore w:val="0"/>
        <w:numPr>
          <w:ilvl w:val="0"/>
          <w:numId w:val="2"/>
        </w:numPr>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highlight w:val="none"/>
          <w:lang w:val="en-US" w:eastAsia="zh-CN"/>
          <w14:textFill>
            <w14:solidFill>
              <w14:schemeClr w14:val="tx1"/>
            </w14:solidFill>
          </w14:textFill>
        </w:rPr>
        <w:t>对响应文件密封情况不作要求。</w:t>
      </w:r>
    </w:p>
    <w:p w14:paraId="4B983E77">
      <w:pPr>
        <w:pStyle w:val="4"/>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pPr>
    </w:p>
    <w:p w14:paraId="31EC18F2">
      <w:pPr>
        <w:pStyle w:val="4"/>
        <w:keepNext w:val="0"/>
        <w:keepLines w:val="0"/>
        <w:pageBreakBefore w:val="0"/>
        <w:numPr>
          <w:ilvl w:val="0"/>
          <w:numId w:val="0"/>
        </w:numPr>
        <w:kinsoku/>
        <w:wordWrap/>
        <w:overflowPunct/>
        <w:topLinePunct w:val="0"/>
        <w:autoSpaceDE/>
        <w:autoSpaceDN/>
        <w:bidi w:val="0"/>
        <w:adjustRightInd/>
        <w:snapToGrid/>
        <w:spacing w:line="520" w:lineRule="exact"/>
        <w:textAlignment w:val="auto"/>
        <w:rPr>
          <w:rFonts w:hint="default" w:ascii="仿宋" w:hAnsi="仿宋" w:eastAsia="仿宋" w:cs="仿宋"/>
          <w:color w:val="000000" w:themeColor="text1"/>
          <w:sz w:val="32"/>
          <w:szCs w:val="32"/>
          <w:highlight w:val="none"/>
          <w:lang w:val="en-US" w:eastAsia="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68539B17">
      <w:pPr>
        <w:pStyle w:val="2"/>
        <w:rPr>
          <w:rFonts w:hint="default"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附件3：承诺函</w:t>
      </w:r>
    </w:p>
    <w:p w14:paraId="34D6C803">
      <w:pPr>
        <w:keepNext w:val="0"/>
        <w:keepLines w:val="0"/>
        <w:pageBreakBefore w:val="0"/>
        <w:widowControl w:val="0"/>
        <w:kinsoku/>
        <w:wordWrap/>
        <w:overflowPunct/>
        <w:topLinePunct w:val="0"/>
        <w:autoSpaceDE/>
        <w:autoSpaceDN/>
        <w:bidi w:val="0"/>
        <w:adjustRightInd/>
        <w:snapToGrid/>
        <w:spacing w:line="560" w:lineRule="exact"/>
        <w:ind w:firstLine="723" w:firstLineChars="200"/>
        <w:jc w:val="center"/>
        <w:textAlignment w:val="auto"/>
        <w:rPr>
          <w:rFonts w:hint="eastAsia"/>
          <w:b/>
          <w:bCs/>
          <w:sz w:val="36"/>
          <w:szCs w:val="36"/>
          <w:lang w:val="en-US" w:eastAsia="zh-CN"/>
        </w:rPr>
      </w:pPr>
      <w:r>
        <w:rPr>
          <w:rFonts w:hint="eastAsia"/>
          <w:b/>
          <w:bCs/>
          <w:sz w:val="36"/>
          <w:szCs w:val="36"/>
          <w:lang w:val="en-US" w:eastAsia="zh-CN"/>
        </w:rPr>
        <w:t>承诺函</w:t>
      </w:r>
    </w:p>
    <w:p w14:paraId="634AB47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sz w:val="32"/>
          <w:szCs w:val="32"/>
          <w:lang w:val="en-US" w:eastAsia="zh-CN"/>
        </w:rPr>
      </w:pPr>
    </w:p>
    <w:p w14:paraId="62FD618D">
      <w:pPr>
        <w:pStyle w:val="4"/>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u w:val="single"/>
          <w:vertAlign w:val="baseline"/>
          <w:lang w:val="en-US" w:eastAsia="zh-CN"/>
        </w:rPr>
        <w:t>山东省第二康复医院：</w:t>
      </w:r>
    </w:p>
    <w:p w14:paraId="34F3254B">
      <w:pPr>
        <w:pStyle w:val="4"/>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我单位提交的相关资料以及表达的内容以及相关承诺，真实有效，我单位对以上材料的真实有效性负法律责任。</w:t>
      </w:r>
    </w:p>
    <w:p w14:paraId="722C56DD">
      <w:pPr>
        <w:pStyle w:val="4"/>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vertAlign w:val="baseline"/>
          <w:lang w:val="en-US" w:eastAsia="zh-CN"/>
        </w:rPr>
      </w:pPr>
    </w:p>
    <w:p w14:paraId="7207F9A0">
      <w:pPr>
        <w:pStyle w:val="4"/>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sz w:val="32"/>
          <w:szCs w:val="32"/>
          <w:vertAlign w:val="baseline"/>
          <w:lang w:val="en-US" w:eastAsia="zh-CN"/>
        </w:rPr>
      </w:pPr>
    </w:p>
    <w:p w14:paraId="247E6C2A">
      <w:pPr>
        <w:pStyle w:val="4"/>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 xml:space="preserve">             单位：（公章）</w:t>
      </w:r>
    </w:p>
    <w:p w14:paraId="6B1EDC14">
      <w:pPr>
        <w:pStyle w:val="4"/>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vertAlign w:val="baseline"/>
          <w:lang w:val="en-US" w:eastAsia="zh-CN"/>
        </w:rPr>
      </w:pPr>
    </w:p>
    <w:p w14:paraId="2F1125AA">
      <w:pPr>
        <w:pStyle w:val="4"/>
        <w:keepNext w:val="0"/>
        <w:keepLines w:val="0"/>
        <w:pageBreakBefore w:val="0"/>
        <w:widowControl w:val="0"/>
        <w:kinsoku/>
        <w:wordWrap/>
        <w:overflowPunct/>
        <w:topLinePunct w:val="0"/>
        <w:autoSpaceDE/>
        <w:autoSpaceDN/>
        <w:bidi w:val="0"/>
        <w:adjustRightInd/>
        <w:snapToGrid/>
        <w:spacing w:line="520" w:lineRule="exact"/>
        <w:ind w:firstLine="3840" w:firstLineChars="1200"/>
        <w:textAlignment w:val="auto"/>
        <w:rPr>
          <w:rFonts w:hint="eastAsia" w:ascii="仿宋" w:hAnsi="仿宋" w:eastAsia="仿宋" w:cs="仿宋"/>
          <w:sz w:val="32"/>
          <w:szCs w:val="32"/>
          <w:vertAlign w:val="baseline"/>
          <w:lang w:val="en-US"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仿宋" w:hAnsi="仿宋" w:eastAsia="仿宋" w:cs="仿宋"/>
          <w:sz w:val="32"/>
          <w:szCs w:val="32"/>
          <w:vertAlign w:val="baseline"/>
          <w:lang w:val="en-US" w:eastAsia="zh-CN"/>
        </w:rPr>
        <w:t>年    月    日</w:t>
      </w:r>
    </w:p>
    <w:p w14:paraId="20B19A9C">
      <w:pPr>
        <w:pStyle w:val="2"/>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附件4  报价单</w:t>
      </w:r>
    </w:p>
    <w:p w14:paraId="41EBF6D6">
      <w:pPr>
        <w:pStyle w:val="4"/>
        <w:jc w:val="center"/>
        <w:rPr>
          <w:rFonts w:hint="eastAsia" w:ascii="仿宋" w:hAnsi="仿宋" w:eastAsia="仿宋" w:cs="仿宋"/>
          <w:b/>
          <w:bCs/>
          <w:sz w:val="36"/>
          <w:szCs w:val="36"/>
          <w:vertAlign w:val="baseline"/>
          <w:lang w:val="en-US" w:eastAsia="zh-CN"/>
        </w:rPr>
      </w:pPr>
      <w:r>
        <w:rPr>
          <w:rFonts w:hint="eastAsia" w:ascii="仿宋" w:hAnsi="仿宋" w:eastAsia="仿宋" w:cs="仿宋"/>
          <w:b/>
          <w:bCs/>
          <w:sz w:val="36"/>
          <w:szCs w:val="36"/>
          <w:vertAlign w:val="baseline"/>
          <w:lang w:val="en-US" w:eastAsia="zh-CN"/>
        </w:rPr>
        <w:t>报价单</w:t>
      </w:r>
    </w:p>
    <w:p w14:paraId="6E116754">
      <w:pPr>
        <w:pStyle w:val="4"/>
        <w:rPr>
          <w:rFonts w:hint="eastAsia" w:ascii="仿宋" w:hAnsi="仿宋" w:eastAsia="仿宋" w:cs="仿宋"/>
          <w:sz w:val="22"/>
          <w:szCs w:val="22"/>
          <w:vertAlign w:val="baseline"/>
          <w:lang w:val="en-US" w:eastAsia="zh-CN"/>
        </w:rPr>
      </w:pPr>
    </w:p>
    <w:tbl>
      <w:tblPr>
        <w:tblStyle w:val="5"/>
        <w:tblW w:w="961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81"/>
        <w:gridCol w:w="3296"/>
        <w:gridCol w:w="5341"/>
      </w:tblGrid>
      <w:tr w14:paraId="375FAD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2" w:hRule="atLeast"/>
          <w:jc w:val="center"/>
        </w:trPr>
        <w:tc>
          <w:tcPr>
            <w:tcW w:w="981" w:type="dxa"/>
            <w:tcBorders>
              <w:top w:val="single" w:color="000000" w:sz="4" w:space="0"/>
              <w:left w:val="single" w:color="000000" w:sz="4" w:space="0"/>
              <w:bottom w:val="single" w:color="000000" w:sz="4" w:space="0"/>
              <w:right w:val="single" w:color="000000" w:sz="4" w:space="0"/>
            </w:tcBorders>
            <w:noWrap w:val="0"/>
            <w:vAlign w:val="center"/>
          </w:tcPr>
          <w:p w14:paraId="35512B29">
            <w:pPr>
              <w:pStyle w:val="4"/>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序号</w:t>
            </w:r>
          </w:p>
        </w:tc>
        <w:tc>
          <w:tcPr>
            <w:tcW w:w="3296" w:type="dxa"/>
            <w:tcBorders>
              <w:top w:val="single" w:color="000000" w:sz="4" w:space="0"/>
              <w:left w:val="single" w:color="000000" w:sz="4" w:space="0"/>
              <w:bottom w:val="single" w:color="000000" w:sz="4" w:space="0"/>
              <w:right w:val="single" w:color="000000" w:sz="4" w:space="0"/>
            </w:tcBorders>
            <w:noWrap w:val="0"/>
            <w:vAlign w:val="center"/>
          </w:tcPr>
          <w:p w14:paraId="278DFCB4">
            <w:pPr>
              <w:pStyle w:val="4"/>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名称</w:t>
            </w:r>
          </w:p>
        </w:tc>
        <w:tc>
          <w:tcPr>
            <w:tcW w:w="5341" w:type="dxa"/>
            <w:tcBorders>
              <w:top w:val="single" w:color="000000" w:sz="4" w:space="0"/>
              <w:left w:val="single" w:color="000000" w:sz="4" w:space="0"/>
              <w:bottom w:val="single" w:color="000000" w:sz="4" w:space="0"/>
              <w:right w:val="single" w:color="000000" w:sz="4" w:space="0"/>
            </w:tcBorders>
            <w:noWrap w:val="0"/>
            <w:vAlign w:val="center"/>
          </w:tcPr>
          <w:p w14:paraId="53E7496F">
            <w:pPr>
              <w:pStyle w:val="4"/>
              <w:jc w:val="center"/>
              <w:rPr>
                <w:rFonts w:hint="eastAsia" w:ascii="仿宋" w:hAnsi="仿宋" w:eastAsia="仿宋" w:cs="仿宋"/>
                <w:b/>
                <w:bCs/>
                <w:sz w:val="28"/>
                <w:szCs w:val="28"/>
                <w:vertAlign w:val="baseline"/>
                <w:lang w:val="en-US" w:eastAsia="zh-CN"/>
              </w:rPr>
            </w:pPr>
            <w:r>
              <w:rPr>
                <w:rFonts w:hint="eastAsia" w:ascii="仿宋" w:hAnsi="仿宋" w:eastAsia="仿宋" w:cs="仿宋"/>
                <w:b/>
                <w:bCs/>
                <w:sz w:val="28"/>
                <w:szCs w:val="28"/>
                <w:vertAlign w:val="baseline"/>
                <w:lang w:val="en-US" w:eastAsia="zh-CN"/>
              </w:rPr>
              <w:t>总价（元）</w:t>
            </w:r>
          </w:p>
        </w:tc>
      </w:tr>
      <w:tr w14:paraId="22D17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96" w:hRule="atLeast"/>
          <w:jc w:val="center"/>
        </w:trPr>
        <w:tc>
          <w:tcPr>
            <w:tcW w:w="981" w:type="dxa"/>
            <w:tcBorders>
              <w:top w:val="single" w:color="000000" w:sz="4" w:space="0"/>
              <w:left w:val="single" w:color="000000" w:sz="4" w:space="0"/>
              <w:bottom w:val="single" w:color="000000" w:sz="4" w:space="0"/>
              <w:right w:val="single" w:color="000000" w:sz="4" w:space="0"/>
            </w:tcBorders>
            <w:noWrap w:val="0"/>
            <w:vAlign w:val="center"/>
          </w:tcPr>
          <w:p w14:paraId="549C3448">
            <w:pPr>
              <w:pStyle w:val="4"/>
              <w:jc w:val="center"/>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1</w:t>
            </w:r>
          </w:p>
        </w:tc>
        <w:tc>
          <w:tcPr>
            <w:tcW w:w="3296" w:type="dxa"/>
            <w:tcBorders>
              <w:top w:val="single" w:color="000000" w:sz="4" w:space="0"/>
              <w:left w:val="single" w:color="000000" w:sz="4" w:space="0"/>
              <w:bottom w:val="single" w:color="000000" w:sz="4" w:space="0"/>
              <w:right w:val="single" w:color="000000" w:sz="4" w:space="0"/>
            </w:tcBorders>
            <w:noWrap w:val="0"/>
            <w:vAlign w:val="center"/>
          </w:tcPr>
          <w:p w14:paraId="63A0E2D9">
            <w:pPr>
              <w:pStyle w:val="4"/>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山东省第二康复医院医养中心智慧消防采购项目</w:t>
            </w:r>
          </w:p>
        </w:tc>
        <w:tc>
          <w:tcPr>
            <w:tcW w:w="5341" w:type="dxa"/>
            <w:tcBorders>
              <w:top w:val="single" w:color="000000" w:sz="4" w:space="0"/>
              <w:left w:val="single" w:color="000000" w:sz="4" w:space="0"/>
              <w:bottom w:val="single" w:color="000000" w:sz="4" w:space="0"/>
              <w:right w:val="single" w:color="000000" w:sz="4" w:space="0"/>
            </w:tcBorders>
            <w:noWrap w:val="0"/>
            <w:vAlign w:val="center"/>
          </w:tcPr>
          <w:p w14:paraId="4E090924">
            <w:pPr>
              <w:pStyle w:val="4"/>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小 写 ：</w:t>
            </w:r>
          </w:p>
          <w:p w14:paraId="71076770">
            <w:pPr>
              <w:pStyle w:val="4"/>
              <w:jc w:val="both"/>
              <w:rPr>
                <w:rFonts w:hint="eastAsia"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大 写 ：</w:t>
            </w:r>
          </w:p>
        </w:tc>
      </w:tr>
      <w:tr w14:paraId="77862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277" w:type="dxa"/>
            <w:gridSpan w:val="2"/>
            <w:tcBorders>
              <w:top w:val="single" w:color="000000" w:sz="4" w:space="0"/>
              <w:left w:val="single" w:color="000000" w:sz="4" w:space="0"/>
              <w:bottom w:val="single" w:color="000000" w:sz="4" w:space="0"/>
              <w:right w:val="single" w:color="000000" w:sz="4" w:space="0"/>
            </w:tcBorders>
            <w:noWrap w:val="0"/>
            <w:vAlign w:val="center"/>
          </w:tcPr>
          <w:p w14:paraId="1521ED34">
            <w:pPr>
              <w:pStyle w:val="4"/>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工期</w:t>
            </w:r>
          </w:p>
        </w:tc>
        <w:tc>
          <w:tcPr>
            <w:tcW w:w="5341" w:type="dxa"/>
            <w:tcBorders>
              <w:top w:val="single" w:color="000000" w:sz="4" w:space="0"/>
              <w:left w:val="single" w:color="000000" w:sz="4" w:space="0"/>
              <w:bottom w:val="single" w:color="000000" w:sz="4" w:space="0"/>
              <w:right w:val="single" w:color="000000" w:sz="4" w:space="0"/>
            </w:tcBorders>
            <w:noWrap w:val="0"/>
            <w:vAlign w:val="center"/>
          </w:tcPr>
          <w:p w14:paraId="4C9E1627">
            <w:pPr>
              <w:pStyle w:val="4"/>
              <w:jc w:val="center"/>
              <w:rPr>
                <w:rFonts w:hint="eastAsia" w:ascii="仿宋" w:hAnsi="仿宋" w:eastAsia="仿宋" w:cs="仿宋"/>
                <w:sz w:val="28"/>
                <w:szCs w:val="28"/>
                <w:vertAlign w:val="baseline"/>
                <w:lang w:val="en-US" w:eastAsia="zh-CN"/>
              </w:rPr>
            </w:pPr>
          </w:p>
        </w:tc>
      </w:tr>
      <w:tr w14:paraId="06276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277" w:type="dxa"/>
            <w:gridSpan w:val="2"/>
            <w:tcBorders>
              <w:top w:val="single" w:color="000000" w:sz="4" w:space="0"/>
              <w:left w:val="single" w:color="000000" w:sz="4" w:space="0"/>
              <w:bottom w:val="single" w:color="000000" w:sz="4" w:space="0"/>
              <w:right w:val="single" w:color="000000" w:sz="4" w:space="0"/>
            </w:tcBorders>
            <w:noWrap w:val="0"/>
            <w:vAlign w:val="center"/>
          </w:tcPr>
          <w:p w14:paraId="565EF149">
            <w:pPr>
              <w:pStyle w:val="4"/>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质保期</w:t>
            </w:r>
          </w:p>
        </w:tc>
        <w:tc>
          <w:tcPr>
            <w:tcW w:w="5341" w:type="dxa"/>
            <w:tcBorders>
              <w:top w:val="single" w:color="000000" w:sz="4" w:space="0"/>
              <w:left w:val="single" w:color="000000" w:sz="4" w:space="0"/>
              <w:bottom w:val="single" w:color="000000" w:sz="4" w:space="0"/>
              <w:right w:val="single" w:color="000000" w:sz="4" w:space="0"/>
            </w:tcBorders>
            <w:noWrap w:val="0"/>
            <w:vAlign w:val="center"/>
          </w:tcPr>
          <w:p w14:paraId="48144AF4">
            <w:pPr>
              <w:pStyle w:val="4"/>
              <w:jc w:val="center"/>
              <w:rPr>
                <w:rFonts w:hint="eastAsia" w:ascii="仿宋" w:hAnsi="仿宋" w:eastAsia="仿宋" w:cs="仿宋"/>
                <w:sz w:val="28"/>
                <w:szCs w:val="28"/>
                <w:vertAlign w:val="baseline"/>
                <w:lang w:val="en-US" w:eastAsia="zh-CN"/>
              </w:rPr>
            </w:pPr>
          </w:p>
        </w:tc>
      </w:tr>
      <w:tr w14:paraId="07271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4277" w:type="dxa"/>
            <w:gridSpan w:val="2"/>
            <w:tcBorders>
              <w:top w:val="single" w:color="000000" w:sz="4" w:space="0"/>
              <w:left w:val="single" w:color="000000" w:sz="4" w:space="0"/>
              <w:bottom w:val="single" w:color="000000" w:sz="4" w:space="0"/>
              <w:right w:val="single" w:color="000000" w:sz="4" w:space="0"/>
            </w:tcBorders>
            <w:noWrap w:val="0"/>
            <w:vAlign w:val="center"/>
          </w:tcPr>
          <w:p w14:paraId="48EDC903">
            <w:pPr>
              <w:pStyle w:val="4"/>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备注</w:t>
            </w:r>
          </w:p>
        </w:tc>
        <w:tc>
          <w:tcPr>
            <w:tcW w:w="5341" w:type="dxa"/>
            <w:tcBorders>
              <w:top w:val="single" w:color="000000" w:sz="4" w:space="0"/>
              <w:left w:val="single" w:color="000000" w:sz="4" w:space="0"/>
              <w:bottom w:val="single" w:color="000000" w:sz="4" w:space="0"/>
              <w:right w:val="single" w:color="000000" w:sz="4" w:space="0"/>
            </w:tcBorders>
            <w:noWrap w:val="0"/>
            <w:vAlign w:val="center"/>
          </w:tcPr>
          <w:p w14:paraId="0BE8ADC4">
            <w:pPr>
              <w:pStyle w:val="4"/>
              <w:jc w:val="center"/>
              <w:rPr>
                <w:rFonts w:hint="eastAsia" w:ascii="仿宋" w:hAnsi="仿宋" w:eastAsia="仿宋" w:cs="仿宋"/>
                <w:sz w:val="28"/>
                <w:szCs w:val="28"/>
                <w:vertAlign w:val="baseline"/>
                <w:lang w:val="en-US" w:eastAsia="zh-CN"/>
              </w:rPr>
            </w:pPr>
          </w:p>
        </w:tc>
      </w:tr>
    </w:tbl>
    <w:p w14:paraId="5B9FE7BA">
      <w:pPr>
        <w:pStyle w:val="4"/>
        <w:keepNext w:val="0"/>
        <w:keepLines w:val="0"/>
        <w:pageBreakBefore w:val="0"/>
        <w:widowControl w:val="0"/>
        <w:kinsoku/>
        <w:wordWrap/>
        <w:overflowPunct/>
        <w:topLinePunct w:val="0"/>
        <w:autoSpaceDE/>
        <w:autoSpaceDN/>
        <w:bidi w:val="0"/>
        <w:adjustRightInd/>
        <w:snapToGrid/>
        <w:spacing w:line="420" w:lineRule="exact"/>
        <w:ind w:left="1280" w:hanging="1280" w:hangingChars="400"/>
        <w:textAlignment w:val="auto"/>
        <w:rPr>
          <w:rFonts w:hint="eastAsia" w:ascii="仿宋" w:hAnsi="仿宋" w:eastAsia="仿宋" w:cs="仿宋"/>
          <w:sz w:val="32"/>
          <w:szCs w:val="32"/>
          <w:vertAlign w:val="baseline"/>
          <w:lang w:val="en-US" w:eastAsia="zh-CN"/>
        </w:rPr>
      </w:pPr>
    </w:p>
    <w:p w14:paraId="5B6EBB5E">
      <w:pPr>
        <w:pStyle w:val="4"/>
        <w:keepNext w:val="0"/>
        <w:keepLines w:val="0"/>
        <w:pageBreakBefore w:val="0"/>
        <w:widowControl w:val="0"/>
        <w:kinsoku/>
        <w:wordWrap/>
        <w:overflowPunct/>
        <w:topLinePunct w:val="0"/>
        <w:autoSpaceDE/>
        <w:autoSpaceDN/>
        <w:bidi w:val="0"/>
        <w:adjustRightInd/>
        <w:snapToGrid/>
        <w:spacing w:line="420" w:lineRule="exact"/>
        <w:ind w:left="1280" w:hanging="1280" w:hangingChars="400"/>
        <w:textAlignment w:val="auto"/>
        <w:rPr>
          <w:rFonts w:hint="eastAsia" w:ascii="仿宋" w:hAnsi="仿宋" w:eastAsia="仿宋" w:cs="仿宋"/>
          <w:sz w:val="32"/>
          <w:szCs w:val="32"/>
          <w:vertAlign w:val="baseline"/>
          <w:lang w:val="en-US" w:eastAsia="zh-CN"/>
        </w:rPr>
      </w:pPr>
    </w:p>
    <w:p w14:paraId="3D50DD1A">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注：（1）提交报价单视同响应院内采购项目需求公示中所有要求。</w:t>
      </w:r>
    </w:p>
    <w:p w14:paraId="5169978B">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（2）本项目为交钥匙工程，供应商所报价格为含税全包价。</w:t>
      </w:r>
    </w:p>
    <w:p w14:paraId="287A548D">
      <w:pPr>
        <w:pStyle w:val="4"/>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（3）报价不得高于预算控制价。</w:t>
      </w:r>
    </w:p>
    <w:p w14:paraId="50735AA8">
      <w:pPr>
        <w:pStyle w:val="4"/>
        <w:keepNext w:val="0"/>
        <w:keepLines w:val="0"/>
        <w:pageBreakBefore w:val="0"/>
        <w:widowControl w:val="0"/>
        <w:kinsoku/>
        <w:wordWrap/>
        <w:overflowPunct/>
        <w:topLinePunct w:val="0"/>
        <w:autoSpaceDE/>
        <w:autoSpaceDN/>
        <w:bidi w:val="0"/>
        <w:adjustRightInd/>
        <w:snapToGrid/>
        <w:spacing w:line="420" w:lineRule="exact"/>
        <w:ind w:left="0" w:firstLine="0" w:firstLineChars="0"/>
        <w:textAlignment w:val="auto"/>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（4）因参与本项目产生的人工、印刷、差旅等费用由供应商承担。</w:t>
      </w:r>
    </w:p>
    <w:p w14:paraId="1576DD8D">
      <w:pPr>
        <w:pStyle w:val="4"/>
        <w:ind w:left="1280" w:hanging="1280" w:hangingChars="400"/>
        <w:jc w:val="both"/>
        <w:rPr>
          <w:rFonts w:hint="eastAsia" w:ascii="仿宋" w:hAnsi="仿宋" w:eastAsia="仿宋" w:cs="仿宋"/>
          <w:sz w:val="32"/>
          <w:szCs w:val="32"/>
          <w:vertAlign w:val="baseline"/>
          <w:lang w:val="en-US" w:eastAsia="zh-CN"/>
        </w:rPr>
      </w:pPr>
    </w:p>
    <w:p w14:paraId="0113582E">
      <w:pPr>
        <w:pStyle w:val="4"/>
        <w:ind w:left="1280" w:hanging="1280" w:hangingChars="400"/>
        <w:jc w:val="both"/>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单位全称：</w:t>
      </w:r>
    </w:p>
    <w:p w14:paraId="0B013F36">
      <w:pPr>
        <w:pStyle w:val="4"/>
        <w:jc w:val="both"/>
        <w:rPr>
          <w:rFonts w:hint="eastAsia" w:ascii="仿宋" w:hAnsi="仿宋" w:eastAsia="仿宋" w:cs="仿宋"/>
          <w:sz w:val="32"/>
          <w:szCs w:val="32"/>
          <w:vertAlign w:val="baseline"/>
          <w:lang w:val="en-US" w:eastAsia="zh-CN"/>
        </w:rPr>
      </w:pPr>
      <w:r>
        <w:rPr>
          <w:rFonts w:hint="eastAsia" w:ascii="仿宋" w:hAnsi="仿宋" w:eastAsia="仿宋" w:cs="仿宋"/>
          <w:sz w:val="32"/>
          <w:szCs w:val="32"/>
          <w:vertAlign w:val="baseline"/>
          <w:lang w:val="en-US" w:eastAsia="zh-CN"/>
        </w:rPr>
        <w:t xml:space="preserve">签字： </w:t>
      </w:r>
    </w:p>
    <w:p w14:paraId="6BF96AB5">
      <w:pPr>
        <w:pStyle w:val="3"/>
        <w:rPr>
          <w:rFonts w:hint="eastAsia" w:ascii="仿宋" w:hAnsi="仿宋" w:eastAsia="仿宋" w:cs="仿宋"/>
          <w:sz w:val="32"/>
          <w:szCs w:val="32"/>
          <w:vertAlign w:val="baseline"/>
          <w:lang w:val="en-US" w:eastAsia="zh-CN"/>
        </w:rPr>
        <w:sectPr>
          <w:footerReference r:id="rId4" w:type="default"/>
          <w:pgSz w:w="11906" w:h="16838"/>
          <w:pgMar w:top="1270" w:right="1800" w:bottom="1100" w:left="1800" w:header="851" w:footer="992" w:gutter="0"/>
          <w:cols w:space="425" w:num="1"/>
          <w:docGrid w:type="lines" w:linePitch="312" w:charSpace="0"/>
        </w:sectPr>
      </w:pPr>
      <w:r>
        <w:rPr>
          <w:rFonts w:hint="eastAsia" w:ascii="仿宋" w:hAnsi="仿宋" w:eastAsia="仿宋" w:cs="仿宋"/>
          <w:sz w:val="32"/>
          <w:szCs w:val="32"/>
          <w:vertAlign w:val="baseline"/>
          <w:lang w:val="en-US" w:eastAsia="zh-CN"/>
        </w:rPr>
        <w:t xml:space="preserve">                            年   月  日</w:t>
      </w:r>
    </w:p>
    <w:p w14:paraId="7399B981">
      <w:pPr>
        <w:jc w:val="center"/>
        <w:rPr>
          <w:rFonts w:hint="eastAsia" w:ascii="仿宋" w:hAnsi="仿宋" w:eastAsia="仿宋" w:cs="仿宋"/>
          <w:b/>
          <w:bCs/>
          <w:color w:val="000000" w:themeColor="text1"/>
          <w:sz w:val="32"/>
          <w:szCs w:val="32"/>
          <w:highlight w:val="none"/>
          <w:lang w:val="en-US" w:eastAsia="zh-CN"/>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分项报价单</w:t>
      </w:r>
    </w:p>
    <w:tbl>
      <w:tblPr>
        <w:tblStyle w:val="6"/>
        <w:tblW w:w="570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4"/>
        <w:gridCol w:w="3184"/>
        <w:gridCol w:w="1092"/>
        <w:gridCol w:w="1361"/>
        <w:gridCol w:w="1889"/>
        <w:gridCol w:w="1447"/>
      </w:tblGrid>
      <w:tr w14:paraId="74F3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83" w:type="pct"/>
            <w:vAlign w:val="center"/>
          </w:tcPr>
          <w:p w14:paraId="60821471">
            <w:pPr>
              <w:jc w:val="center"/>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序号</w:t>
            </w:r>
          </w:p>
        </w:tc>
        <w:tc>
          <w:tcPr>
            <w:tcW w:w="1638" w:type="pct"/>
            <w:vAlign w:val="center"/>
          </w:tcPr>
          <w:p w14:paraId="396966C7">
            <w:pPr>
              <w:jc w:val="center"/>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名称</w:t>
            </w:r>
          </w:p>
        </w:tc>
        <w:tc>
          <w:tcPr>
            <w:tcW w:w="560" w:type="pct"/>
            <w:vAlign w:val="center"/>
          </w:tcPr>
          <w:p w14:paraId="2ED6CF25">
            <w:pPr>
              <w:jc w:val="center"/>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数量</w:t>
            </w:r>
          </w:p>
        </w:tc>
        <w:tc>
          <w:tcPr>
            <w:tcW w:w="700" w:type="pct"/>
            <w:vAlign w:val="center"/>
          </w:tcPr>
          <w:p w14:paraId="6BDDEDA3">
            <w:pPr>
              <w:jc w:val="center"/>
              <w:rPr>
                <w:rFonts w:hint="eastAsia"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单价（元）</w:t>
            </w:r>
          </w:p>
        </w:tc>
        <w:tc>
          <w:tcPr>
            <w:tcW w:w="972" w:type="pct"/>
            <w:vAlign w:val="center"/>
          </w:tcPr>
          <w:p w14:paraId="654EFE56">
            <w:pPr>
              <w:jc w:val="center"/>
              <w:rPr>
                <w:rFonts w:hint="default"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总价（元）</w:t>
            </w:r>
          </w:p>
        </w:tc>
        <w:tc>
          <w:tcPr>
            <w:tcW w:w="744" w:type="pct"/>
            <w:vAlign w:val="center"/>
          </w:tcPr>
          <w:p w14:paraId="242FCDF4">
            <w:pPr>
              <w:jc w:val="center"/>
              <w:rPr>
                <w:rFonts w:hint="default" w:ascii="仿宋" w:hAnsi="仿宋" w:eastAsia="仿宋" w:cs="仿宋"/>
                <w:b/>
                <w:bCs/>
                <w:sz w:val="24"/>
                <w:szCs w:val="32"/>
                <w:vertAlign w:val="baseline"/>
                <w:lang w:val="en-US" w:eastAsia="zh-CN"/>
              </w:rPr>
            </w:pPr>
            <w:r>
              <w:rPr>
                <w:rFonts w:hint="eastAsia" w:ascii="仿宋" w:hAnsi="仿宋" w:eastAsia="仿宋" w:cs="仿宋"/>
                <w:b/>
                <w:bCs/>
                <w:sz w:val="24"/>
                <w:szCs w:val="32"/>
                <w:vertAlign w:val="baseline"/>
                <w:lang w:val="en-US" w:eastAsia="zh-CN"/>
              </w:rPr>
              <w:t>备注</w:t>
            </w:r>
          </w:p>
        </w:tc>
      </w:tr>
      <w:tr w14:paraId="0719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383" w:type="pct"/>
            <w:vAlign w:val="center"/>
          </w:tcPr>
          <w:p w14:paraId="3A472BB3">
            <w:pPr>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w:t>
            </w:r>
          </w:p>
        </w:tc>
        <w:tc>
          <w:tcPr>
            <w:tcW w:w="1638" w:type="pct"/>
            <w:vAlign w:val="center"/>
          </w:tcPr>
          <w:p w14:paraId="75DBE9BA">
            <w:pPr>
              <w:jc w:val="center"/>
              <w:rPr>
                <w:rFonts w:hint="default" w:ascii="仿宋" w:hAnsi="仿宋" w:eastAsia="仿宋" w:cs="仿宋"/>
                <w:sz w:val="24"/>
                <w:szCs w:val="32"/>
                <w:vertAlign w:val="baseline"/>
                <w:lang w:val="en-US" w:eastAsia="zh-CN"/>
              </w:rPr>
            </w:pPr>
            <w:r>
              <w:rPr>
                <w:rFonts w:hint="default" w:ascii="仿宋" w:hAnsi="仿宋" w:eastAsia="仿宋" w:cs="仿宋"/>
                <w:sz w:val="24"/>
                <w:szCs w:val="32"/>
                <w:vertAlign w:val="baseline"/>
                <w:lang w:val="en-US" w:eastAsia="zh-CN"/>
              </w:rPr>
              <w:t>组合式电气火灾监控探测器</w:t>
            </w:r>
          </w:p>
        </w:tc>
        <w:tc>
          <w:tcPr>
            <w:tcW w:w="560" w:type="pct"/>
            <w:vAlign w:val="center"/>
          </w:tcPr>
          <w:p w14:paraId="13922F18">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3</w:t>
            </w:r>
          </w:p>
        </w:tc>
        <w:tc>
          <w:tcPr>
            <w:tcW w:w="700" w:type="pct"/>
            <w:vAlign w:val="center"/>
          </w:tcPr>
          <w:p w14:paraId="1FDFDAD7">
            <w:pPr>
              <w:jc w:val="center"/>
              <w:rPr>
                <w:rFonts w:hint="eastAsia" w:ascii="仿宋" w:hAnsi="仿宋" w:eastAsia="仿宋" w:cs="仿宋"/>
                <w:sz w:val="24"/>
                <w:szCs w:val="32"/>
                <w:vertAlign w:val="baseline"/>
                <w:lang w:val="en-US" w:eastAsia="zh-CN"/>
              </w:rPr>
            </w:pPr>
          </w:p>
        </w:tc>
        <w:tc>
          <w:tcPr>
            <w:tcW w:w="972" w:type="pct"/>
            <w:vAlign w:val="center"/>
          </w:tcPr>
          <w:p w14:paraId="1DC47BB0">
            <w:pPr>
              <w:jc w:val="center"/>
              <w:rPr>
                <w:rFonts w:hint="eastAsia" w:ascii="仿宋" w:hAnsi="仿宋" w:eastAsia="仿宋" w:cs="仿宋"/>
                <w:sz w:val="24"/>
                <w:szCs w:val="32"/>
                <w:vertAlign w:val="baseline"/>
                <w:lang w:val="en-US" w:eastAsia="zh-CN"/>
              </w:rPr>
            </w:pPr>
          </w:p>
        </w:tc>
        <w:tc>
          <w:tcPr>
            <w:tcW w:w="744" w:type="pct"/>
            <w:vAlign w:val="center"/>
          </w:tcPr>
          <w:p w14:paraId="22E5B64E">
            <w:pPr>
              <w:jc w:val="center"/>
              <w:rPr>
                <w:rFonts w:hint="eastAsia" w:ascii="仿宋" w:hAnsi="仿宋" w:eastAsia="仿宋" w:cs="仿宋"/>
                <w:sz w:val="24"/>
                <w:szCs w:val="32"/>
                <w:vertAlign w:val="baseline"/>
                <w:lang w:val="en-US" w:eastAsia="zh-CN"/>
              </w:rPr>
            </w:pPr>
          </w:p>
        </w:tc>
      </w:tr>
      <w:tr w14:paraId="13EA7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83" w:type="pct"/>
            <w:vAlign w:val="center"/>
          </w:tcPr>
          <w:p w14:paraId="1BC7C3F1">
            <w:pPr>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w:t>
            </w:r>
          </w:p>
        </w:tc>
        <w:tc>
          <w:tcPr>
            <w:tcW w:w="1638" w:type="pct"/>
            <w:vAlign w:val="center"/>
          </w:tcPr>
          <w:p w14:paraId="7729736F">
            <w:pPr>
              <w:jc w:val="center"/>
              <w:rPr>
                <w:rFonts w:hint="default" w:ascii="仿宋" w:hAnsi="仿宋" w:eastAsia="仿宋" w:cs="仿宋"/>
                <w:sz w:val="24"/>
                <w:szCs w:val="32"/>
                <w:vertAlign w:val="baseline"/>
                <w:lang w:val="en-US" w:eastAsia="zh-CN"/>
              </w:rPr>
            </w:pPr>
            <w:r>
              <w:rPr>
                <w:rFonts w:hint="default" w:ascii="仿宋" w:hAnsi="仿宋" w:eastAsia="仿宋" w:cs="仿宋"/>
                <w:sz w:val="24"/>
                <w:szCs w:val="32"/>
                <w:vertAlign w:val="baseline"/>
                <w:lang w:val="en-US" w:eastAsia="zh-CN"/>
              </w:rPr>
              <w:t>消防用水无线压力监测</w:t>
            </w:r>
          </w:p>
        </w:tc>
        <w:tc>
          <w:tcPr>
            <w:tcW w:w="560" w:type="pct"/>
            <w:vAlign w:val="center"/>
          </w:tcPr>
          <w:p w14:paraId="09BCD498">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w:t>
            </w:r>
          </w:p>
        </w:tc>
        <w:tc>
          <w:tcPr>
            <w:tcW w:w="700" w:type="pct"/>
            <w:vAlign w:val="center"/>
          </w:tcPr>
          <w:p w14:paraId="7BDDB5C0">
            <w:pPr>
              <w:jc w:val="center"/>
              <w:rPr>
                <w:rFonts w:hint="eastAsia" w:ascii="仿宋" w:hAnsi="仿宋" w:eastAsia="仿宋" w:cs="仿宋"/>
                <w:sz w:val="24"/>
                <w:szCs w:val="32"/>
                <w:vertAlign w:val="baseline"/>
                <w:lang w:val="en-US" w:eastAsia="zh-CN"/>
              </w:rPr>
            </w:pPr>
          </w:p>
        </w:tc>
        <w:tc>
          <w:tcPr>
            <w:tcW w:w="972" w:type="pct"/>
            <w:vAlign w:val="center"/>
          </w:tcPr>
          <w:p w14:paraId="3952A5B5">
            <w:pPr>
              <w:jc w:val="center"/>
              <w:rPr>
                <w:rFonts w:hint="eastAsia" w:ascii="仿宋" w:hAnsi="仿宋" w:eastAsia="仿宋" w:cs="仿宋"/>
                <w:sz w:val="24"/>
                <w:szCs w:val="32"/>
                <w:vertAlign w:val="baseline"/>
                <w:lang w:val="en-US" w:eastAsia="zh-CN"/>
              </w:rPr>
            </w:pPr>
          </w:p>
        </w:tc>
        <w:tc>
          <w:tcPr>
            <w:tcW w:w="744" w:type="pct"/>
            <w:vAlign w:val="center"/>
          </w:tcPr>
          <w:p w14:paraId="727D45AD">
            <w:pPr>
              <w:jc w:val="center"/>
              <w:rPr>
                <w:rFonts w:hint="eastAsia" w:ascii="仿宋" w:hAnsi="仿宋" w:eastAsia="仿宋" w:cs="仿宋"/>
                <w:sz w:val="24"/>
                <w:szCs w:val="32"/>
                <w:vertAlign w:val="baseline"/>
                <w:lang w:val="en-US" w:eastAsia="zh-CN"/>
              </w:rPr>
            </w:pPr>
          </w:p>
        </w:tc>
      </w:tr>
      <w:tr w14:paraId="522AC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83" w:type="pct"/>
            <w:vAlign w:val="center"/>
          </w:tcPr>
          <w:p w14:paraId="27D0B0EE">
            <w:pPr>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3</w:t>
            </w:r>
          </w:p>
        </w:tc>
        <w:tc>
          <w:tcPr>
            <w:tcW w:w="1638" w:type="pct"/>
            <w:vAlign w:val="center"/>
          </w:tcPr>
          <w:p w14:paraId="28A967E9">
            <w:pPr>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消防用水无线液位监测</w:t>
            </w:r>
          </w:p>
        </w:tc>
        <w:tc>
          <w:tcPr>
            <w:tcW w:w="560" w:type="pct"/>
            <w:vAlign w:val="center"/>
          </w:tcPr>
          <w:p w14:paraId="6979DABB">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w:t>
            </w:r>
          </w:p>
        </w:tc>
        <w:tc>
          <w:tcPr>
            <w:tcW w:w="700" w:type="pct"/>
            <w:vAlign w:val="center"/>
          </w:tcPr>
          <w:p w14:paraId="64E9FDA1">
            <w:pPr>
              <w:jc w:val="center"/>
              <w:rPr>
                <w:rFonts w:hint="eastAsia" w:ascii="仿宋" w:hAnsi="仿宋" w:eastAsia="仿宋" w:cs="仿宋"/>
                <w:sz w:val="24"/>
                <w:szCs w:val="32"/>
                <w:vertAlign w:val="baseline"/>
                <w:lang w:val="en-US" w:eastAsia="zh-CN"/>
              </w:rPr>
            </w:pPr>
          </w:p>
        </w:tc>
        <w:tc>
          <w:tcPr>
            <w:tcW w:w="972" w:type="pct"/>
            <w:vAlign w:val="center"/>
          </w:tcPr>
          <w:p w14:paraId="4504FD05">
            <w:pPr>
              <w:jc w:val="center"/>
              <w:rPr>
                <w:rFonts w:hint="eastAsia" w:ascii="仿宋" w:hAnsi="仿宋" w:eastAsia="仿宋" w:cs="仿宋"/>
                <w:sz w:val="24"/>
                <w:szCs w:val="32"/>
                <w:vertAlign w:val="baseline"/>
                <w:lang w:val="en-US" w:eastAsia="zh-CN"/>
              </w:rPr>
            </w:pPr>
          </w:p>
        </w:tc>
        <w:tc>
          <w:tcPr>
            <w:tcW w:w="744" w:type="pct"/>
            <w:vAlign w:val="center"/>
          </w:tcPr>
          <w:p w14:paraId="070E4722">
            <w:pPr>
              <w:jc w:val="center"/>
              <w:rPr>
                <w:rFonts w:hint="eastAsia" w:ascii="仿宋" w:hAnsi="仿宋" w:eastAsia="仿宋" w:cs="仿宋"/>
                <w:sz w:val="24"/>
                <w:szCs w:val="32"/>
                <w:vertAlign w:val="baseline"/>
                <w:lang w:val="en-US" w:eastAsia="zh-CN"/>
              </w:rPr>
            </w:pPr>
          </w:p>
        </w:tc>
      </w:tr>
      <w:tr w14:paraId="2C478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83" w:type="pct"/>
            <w:vAlign w:val="center"/>
          </w:tcPr>
          <w:p w14:paraId="1BA43D8B">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4</w:t>
            </w:r>
          </w:p>
        </w:tc>
        <w:tc>
          <w:tcPr>
            <w:tcW w:w="1638" w:type="pct"/>
            <w:vAlign w:val="center"/>
          </w:tcPr>
          <w:p w14:paraId="748FF7D9">
            <w:pPr>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用户信息传输装置</w:t>
            </w:r>
          </w:p>
        </w:tc>
        <w:tc>
          <w:tcPr>
            <w:tcW w:w="560" w:type="pct"/>
            <w:vAlign w:val="center"/>
          </w:tcPr>
          <w:p w14:paraId="205DBE37">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w:t>
            </w:r>
          </w:p>
        </w:tc>
        <w:tc>
          <w:tcPr>
            <w:tcW w:w="700" w:type="pct"/>
            <w:vAlign w:val="center"/>
          </w:tcPr>
          <w:p w14:paraId="1EA05340">
            <w:pPr>
              <w:jc w:val="center"/>
              <w:rPr>
                <w:rFonts w:hint="eastAsia" w:ascii="仿宋" w:hAnsi="仿宋" w:eastAsia="仿宋" w:cs="仿宋"/>
                <w:sz w:val="24"/>
                <w:szCs w:val="32"/>
                <w:vertAlign w:val="baseline"/>
                <w:lang w:val="en-US" w:eastAsia="zh-CN"/>
              </w:rPr>
            </w:pPr>
          </w:p>
        </w:tc>
        <w:tc>
          <w:tcPr>
            <w:tcW w:w="972" w:type="pct"/>
            <w:vAlign w:val="center"/>
          </w:tcPr>
          <w:p w14:paraId="2A6CE6D6">
            <w:pPr>
              <w:jc w:val="center"/>
              <w:rPr>
                <w:rFonts w:hint="eastAsia" w:ascii="仿宋" w:hAnsi="仿宋" w:eastAsia="仿宋" w:cs="仿宋"/>
                <w:sz w:val="24"/>
                <w:szCs w:val="32"/>
                <w:vertAlign w:val="baseline"/>
                <w:lang w:val="en-US" w:eastAsia="zh-CN"/>
              </w:rPr>
            </w:pPr>
          </w:p>
        </w:tc>
        <w:tc>
          <w:tcPr>
            <w:tcW w:w="744" w:type="pct"/>
            <w:vAlign w:val="center"/>
          </w:tcPr>
          <w:p w14:paraId="02A6B32D">
            <w:pPr>
              <w:jc w:val="center"/>
              <w:rPr>
                <w:rFonts w:hint="eastAsia" w:ascii="仿宋" w:hAnsi="仿宋" w:eastAsia="仿宋" w:cs="仿宋"/>
                <w:sz w:val="24"/>
                <w:szCs w:val="32"/>
                <w:vertAlign w:val="baseline"/>
                <w:lang w:val="en-US" w:eastAsia="zh-CN"/>
              </w:rPr>
            </w:pPr>
          </w:p>
        </w:tc>
      </w:tr>
      <w:tr w14:paraId="63FA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83" w:type="pct"/>
            <w:vAlign w:val="center"/>
          </w:tcPr>
          <w:p w14:paraId="3A8D4C8B">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5</w:t>
            </w:r>
          </w:p>
        </w:tc>
        <w:tc>
          <w:tcPr>
            <w:tcW w:w="1638" w:type="pct"/>
            <w:vAlign w:val="center"/>
          </w:tcPr>
          <w:p w14:paraId="10875665">
            <w:pPr>
              <w:jc w:val="center"/>
              <w:rPr>
                <w:rFonts w:hint="default" w:ascii="仿宋" w:hAnsi="仿宋" w:eastAsia="仿宋" w:cs="仿宋"/>
                <w:sz w:val="24"/>
                <w:szCs w:val="32"/>
                <w:vertAlign w:val="baseline"/>
                <w:lang w:val="en-US" w:eastAsia="zh-CN"/>
              </w:rPr>
            </w:pPr>
            <w:r>
              <w:rPr>
                <w:rFonts w:hint="default" w:ascii="仿宋" w:hAnsi="仿宋" w:eastAsia="仿宋" w:cs="仿宋"/>
                <w:sz w:val="24"/>
                <w:szCs w:val="32"/>
                <w:vertAlign w:val="baseline"/>
                <w:lang w:val="en-US" w:eastAsia="zh-CN"/>
              </w:rPr>
              <w:t>NFC巡检标签</w:t>
            </w:r>
          </w:p>
        </w:tc>
        <w:tc>
          <w:tcPr>
            <w:tcW w:w="560" w:type="pct"/>
            <w:vAlign w:val="center"/>
          </w:tcPr>
          <w:p w14:paraId="29AC41F3">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20</w:t>
            </w:r>
          </w:p>
        </w:tc>
        <w:tc>
          <w:tcPr>
            <w:tcW w:w="700" w:type="pct"/>
            <w:vAlign w:val="center"/>
          </w:tcPr>
          <w:p w14:paraId="6380D7E1">
            <w:pPr>
              <w:jc w:val="center"/>
              <w:rPr>
                <w:rFonts w:hint="eastAsia" w:ascii="仿宋" w:hAnsi="仿宋" w:eastAsia="仿宋" w:cs="仿宋"/>
                <w:sz w:val="24"/>
                <w:szCs w:val="32"/>
                <w:vertAlign w:val="baseline"/>
                <w:lang w:val="en-US" w:eastAsia="zh-CN"/>
              </w:rPr>
            </w:pPr>
          </w:p>
        </w:tc>
        <w:tc>
          <w:tcPr>
            <w:tcW w:w="972" w:type="pct"/>
            <w:vAlign w:val="center"/>
          </w:tcPr>
          <w:p w14:paraId="06A9CED4">
            <w:pPr>
              <w:jc w:val="center"/>
              <w:rPr>
                <w:rFonts w:hint="eastAsia" w:ascii="仿宋" w:hAnsi="仿宋" w:eastAsia="仿宋" w:cs="仿宋"/>
                <w:sz w:val="24"/>
                <w:szCs w:val="32"/>
                <w:vertAlign w:val="baseline"/>
                <w:lang w:val="en-US" w:eastAsia="zh-CN"/>
              </w:rPr>
            </w:pPr>
          </w:p>
        </w:tc>
        <w:tc>
          <w:tcPr>
            <w:tcW w:w="744" w:type="pct"/>
            <w:vAlign w:val="center"/>
          </w:tcPr>
          <w:p w14:paraId="543BB27B">
            <w:pPr>
              <w:jc w:val="center"/>
              <w:rPr>
                <w:rFonts w:hint="eastAsia" w:ascii="仿宋" w:hAnsi="仿宋" w:eastAsia="仿宋" w:cs="仿宋"/>
                <w:sz w:val="24"/>
                <w:szCs w:val="32"/>
                <w:vertAlign w:val="baseline"/>
                <w:lang w:val="en-US" w:eastAsia="zh-CN"/>
              </w:rPr>
            </w:pPr>
          </w:p>
        </w:tc>
      </w:tr>
      <w:tr w14:paraId="57AA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83" w:type="pct"/>
            <w:vAlign w:val="center"/>
          </w:tcPr>
          <w:p w14:paraId="7ECF82D3">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6</w:t>
            </w:r>
          </w:p>
        </w:tc>
        <w:tc>
          <w:tcPr>
            <w:tcW w:w="1638" w:type="pct"/>
            <w:vAlign w:val="center"/>
          </w:tcPr>
          <w:p w14:paraId="246F1441">
            <w:pPr>
              <w:jc w:val="center"/>
              <w:rPr>
                <w:rFonts w:hint="default" w:ascii="仿宋" w:hAnsi="仿宋" w:eastAsia="仿宋" w:cs="仿宋"/>
                <w:sz w:val="24"/>
                <w:szCs w:val="32"/>
                <w:vertAlign w:val="baseline"/>
                <w:lang w:val="en-US" w:eastAsia="zh-CN"/>
              </w:rPr>
            </w:pPr>
            <w:r>
              <w:rPr>
                <w:rFonts w:hint="default" w:ascii="仿宋" w:hAnsi="仿宋" w:eastAsia="仿宋" w:cs="仿宋"/>
                <w:sz w:val="24"/>
                <w:szCs w:val="32"/>
                <w:vertAlign w:val="baseline"/>
                <w:lang w:val="en-US" w:eastAsia="zh-CN"/>
              </w:rPr>
              <w:t>脱岗离岗识别</w:t>
            </w:r>
          </w:p>
        </w:tc>
        <w:tc>
          <w:tcPr>
            <w:tcW w:w="560" w:type="pct"/>
            <w:vAlign w:val="center"/>
          </w:tcPr>
          <w:p w14:paraId="5F4C3C10">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w:t>
            </w:r>
          </w:p>
        </w:tc>
        <w:tc>
          <w:tcPr>
            <w:tcW w:w="700" w:type="pct"/>
            <w:vAlign w:val="center"/>
          </w:tcPr>
          <w:p w14:paraId="488089FD">
            <w:pPr>
              <w:jc w:val="center"/>
              <w:rPr>
                <w:rFonts w:hint="eastAsia" w:ascii="仿宋" w:hAnsi="仿宋" w:eastAsia="仿宋" w:cs="仿宋"/>
                <w:sz w:val="24"/>
                <w:szCs w:val="32"/>
                <w:vertAlign w:val="baseline"/>
                <w:lang w:val="en-US" w:eastAsia="zh-CN"/>
              </w:rPr>
            </w:pPr>
          </w:p>
        </w:tc>
        <w:tc>
          <w:tcPr>
            <w:tcW w:w="972" w:type="pct"/>
            <w:vAlign w:val="center"/>
          </w:tcPr>
          <w:p w14:paraId="1F4C31EC">
            <w:pPr>
              <w:jc w:val="center"/>
              <w:rPr>
                <w:rFonts w:hint="eastAsia" w:ascii="仿宋" w:hAnsi="仿宋" w:eastAsia="仿宋" w:cs="仿宋"/>
                <w:sz w:val="24"/>
                <w:szCs w:val="32"/>
                <w:vertAlign w:val="baseline"/>
                <w:lang w:val="en-US" w:eastAsia="zh-CN"/>
              </w:rPr>
            </w:pPr>
          </w:p>
        </w:tc>
        <w:tc>
          <w:tcPr>
            <w:tcW w:w="744" w:type="pct"/>
            <w:vAlign w:val="center"/>
          </w:tcPr>
          <w:p w14:paraId="706A4224">
            <w:pPr>
              <w:jc w:val="center"/>
              <w:rPr>
                <w:rFonts w:hint="eastAsia" w:ascii="仿宋" w:hAnsi="仿宋" w:eastAsia="仿宋" w:cs="仿宋"/>
                <w:sz w:val="24"/>
                <w:szCs w:val="32"/>
                <w:vertAlign w:val="baseline"/>
                <w:lang w:val="en-US" w:eastAsia="zh-CN"/>
              </w:rPr>
            </w:pPr>
          </w:p>
        </w:tc>
      </w:tr>
      <w:tr w14:paraId="6705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383" w:type="pct"/>
            <w:vAlign w:val="center"/>
          </w:tcPr>
          <w:p w14:paraId="49B56A36">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7</w:t>
            </w:r>
          </w:p>
        </w:tc>
        <w:tc>
          <w:tcPr>
            <w:tcW w:w="1638" w:type="pct"/>
            <w:vAlign w:val="center"/>
          </w:tcPr>
          <w:p w14:paraId="19BF74F3">
            <w:pPr>
              <w:jc w:val="center"/>
              <w:rPr>
                <w:rFonts w:hint="default" w:ascii="仿宋" w:hAnsi="仿宋" w:eastAsia="仿宋" w:cs="仿宋"/>
                <w:sz w:val="24"/>
                <w:szCs w:val="32"/>
                <w:vertAlign w:val="baseline"/>
                <w:lang w:val="en-US" w:eastAsia="zh-CN"/>
              </w:rPr>
            </w:pPr>
            <w:r>
              <w:rPr>
                <w:rFonts w:hint="default" w:ascii="仿宋" w:hAnsi="仿宋" w:eastAsia="仿宋" w:cs="仿宋"/>
                <w:sz w:val="24"/>
                <w:szCs w:val="32"/>
                <w:vertAlign w:val="baseline"/>
                <w:lang w:val="en-US" w:eastAsia="zh-CN"/>
              </w:rPr>
              <w:t>火焰识别</w:t>
            </w:r>
          </w:p>
        </w:tc>
        <w:tc>
          <w:tcPr>
            <w:tcW w:w="560" w:type="pct"/>
            <w:vAlign w:val="center"/>
          </w:tcPr>
          <w:p w14:paraId="31EDC4CE">
            <w:pPr>
              <w:jc w:val="center"/>
              <w:rPr>
                <w:rFonts w:hint="default"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1</w:t>
            </w:r>
          </w:p>
        </w:tc>
        <w:tc>
          <w:tcPr>
            <w:tcW w:w="700" w:type="pct"/>
            <w:vAlign w:val="center"/>
          </w:tcPr>
          <w:p w14:paraId="65024572">
            <w:pPr>
              <w:jc w:val="center"/>
              <w:rPr>
                <w:rFonts w:hint="eastAsia" w:ascii="仿宋" w:hAnsi="仿宋" w:eastAsia="仿宋" w:cs="仿宋"/>
                <w:sz w:val="24"/>
                <w:szCs w:val="32"/>
                <w:vertAlign w:val="baseline"/>
                <w:lang w:val="en-US" w:eastAsia="zh-CN"/>
              </w:rPr>
            </w:pPr>
          </w:p>
        </w:tc>
        <w:tc>
          <w:tcPr>
            <w:tcW w:w="972" w:type="pct"/>
            <w:vAlign w:val="center"/>
          </w:tcPr>
          <w:p w14:paraId="55E3729A">
            <w:pPr>
              <w:jc w:val="center"/>
              <w:rPr>
                <w:rFonts w:hint="eastAsia" w:ascii="仿宋" w:hAnsi="仿宋" w:eastAsia="仿宋" w:cs="仿宋"/>
                <w:sz w:val="24"/>
                <w:szCs w:val="32"/>
                <w:vertAlign w:val="baseline"/>
                <w:lang w:val="en-US" w:eastAsia="zh-CN"/>
              </w:rPr>
            </w:pPr>
          </w:p>
        </w:tc>
        <w:tc>
          <w:tcPr>
            <w:tcW w:w="744" w:type="pct"/>
            <w:vAlign w:val="center"/>
          </w:tcPr>
          <w:p w14:paraId="5F29D2FB">
            <w:pPr>
              <w:jc w:val="center"/>
              <w:rPr>
                <w:rFonts w:hint="eastAsia" w:ascii="仿宋" w:hAnsi="仿宋" w:eastAsia="仿宋" w:cs="仿宋"/>
                <w:sz w:val="24"/>
                <w:szCs w:val="32"/>
                <w:vertAlign w:val="baseline"/>
                <w:lang w:val="en-US" w:eastAsia="zh-CN"/>
              </w:rPr>
            </w:pPr>
          </w:p>
        </w:tc>
      </w:tr>
      <w:tr w14:paraId="702E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2583" w:type="pct"/>
            <w:gridSpan w:val="3"/>
            <w:vAlign w:val="center"/>
          </w:tcPr>
          <w:p w14:paraId="067AB529">
            <w:pPr>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总价（元）</w:t>
            </w:r>
          </w:p>
        </w:tc>
        <w:tc>
          <w:tcPr>
            <w:tcW w:w="2416" w:type="pct"/>
            <w:gridSpan w:val="3"/>
            <w:vAlign w:val="center"/>
          </w:tcPr>
          <w:p w14:paraId="729121FC">
            <w:pPr>
              <w:jc w:val="center"/>
              <w:rPr>
                <w:rFonts w:hint="eastAsia" w:ascii="仿宋" w:hAnsi="仿宋" w:eastAsia="仿宋" w:cs="仿宋"/>
                <w:sz w:val="24"/>
                <w:szCs w:val="32"/>
                <w:vertAlign w:val="baseline"/>
                <w:lang w:val="en-US" w:eastAsia="zh-CN"/>
              </w:rPr>
            </w:pPr>
          </w:p>
        </w:tc>
      </w:tr>
    </w:tbl>
    <w:p w14:paraId="464B3DA7">
      <w:pPr>
        <w:rPr>
          <w:rFonts w:hint="eastAsia"/>
          <w:lang w:val="en-US" w:eastAsia="zh-CN"/>
        </w:rPr>
      </w:pPr>
    </w:p>
    <w:p w14:paraId="167C2875">
      <w:bookmarkStart w:id="0" w:name="_GoBack"/>
      <w:bookmarkEnd w:id="0"/>
    </w:p>
    <w:sectPr>
      <w:pgSz w:w="11906" w:h="16838"/>
      <w:pgMar w:top="1270"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ACA8F">
    <w:pPr>
      <w:spacing w:line="175" w:lineRule="auto"/>
      <w:rPr>
        <w:rFonts w:ascii="宋体" w:hAnsi="宋体" w:eastAsia="宋体" w:cs="宋体"/>
        <w:sz w:val="23"/>
        <w:szCs w:val="23"/>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35A1AD">
    <w:pPr>
      <w:spacing w:line="175" w:lineRule="auto"/>
      <w:rPr>
        <w:rFonts w:ascii="宋体" w:hAnsi="宋体" w:eastAsia="宋体" w:cs="宋体"/>
        <w:sz w:val="23"/>
        <w:szCs w:val="23"/>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98597C"/>
    <w:multiLevelType w:val="singleLevel"/>
    <w:tmpl w:val="8598597C"/>
    <w:lvl w:ilvl="0" w:tentative="0">
      <w:start w:val="1"/>
      <w:numFmt w:val="decimal"/>
      <w:lvlText w:val="%1."/>
      <w:lvlJc w:val="left"/>
      <w:pPr>
        <w:tabs>
          <w:tab w:val="left" w:pos="312"/>
        </w:tabs>
      </w:pPr>
    </w:lvl>
  </w:abstractNum>
  <w:abstractNum w:abstractNumId="1">
    <w:nsid w:val="4709490E"/>
    <w:multiLevelType w:val="singleLevel"/>
    <w:tmpl w:val="4709490E"/>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FF474D"/>
    <w:rsid w:val="48FF474D"/>
    <w:rsid w:val="7D936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rPr>
      <w:rFonts w:eastAsia="Times New Roman"/>
    </w:rPr>
  </w:style>
  <w:style w:type="paragraph" w:styleId="3">
    <w:name w:val="Body Text Indent"/>
    <w:basedOn w:val="1"/>
    <w:next w:val="1"/>
    <w:unhideWhenUsed/>
    <w:qFormat/>
    <w:uiPriority w:val="99"/>
    <w:pPr>
      <w:spacing w:after="120"/>
      <w:ind w:left="420" w:leftChars="200"/>
    </w:pPr>
    <w:rPr>
      <w:rFonts w:ascii="Times New Roman" w:hAnsi="Times New Roman" w:eastAsiaTheme="minorEastAsia" w:cstheme="minorBidi"/>
      <w:sz w:val="21"/>
      <w:szCs w:val="22"/>
    </w:rPr>
  </w:style>
  <w:style w:type="paragraph" w:styleId="4">
    <w:name w:val="Plain Text"/>
    <w:basedOn w:val="1"/>
    <w:qFormat/>
    <w:uiPriority w:val="0"/>
    <w:rPr>
      <w:rFonts w:ascii="宋体" w:hAnsi="Courier New"/>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大标题"/>
    <w:basedOn w:val="1"/>
    <w:uiPriority w:val="0"/>
    <w:pPr>
      <w:widowControl/>
      <w:spacing w:line="500" w:lineRule="exact"/>
      <w:jc w:val="center"/>
    </w:pPr>
    <w:rPr>
      <w:rFonts w:hint="eastAsia" w:ascii="方正小标宋_GBK" w:hAnsi="方正小标宋_GBK" w:eastAsia="方正小标宋_GBK" w:cs="宋体"/>
      <w:color w:val="000000"/>
      <w:kern w:val="0"/>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2026-07-20T06:23:00Z</dcterms:created>
  <dc:creator>依心而行</dc:creator>
  <cp:lastModifiedBy>依心而行</cp:lastModifiedBy>
  <dcterms:modified xsi:type="dcterms:W3CDTF">2026-07-20T06:23:57Z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26EB79E562564861891838B25403D6A1_11</vt:lpwstr>
  </property>
  <property fmtid="{D5CDD505-2E9C-101B-9397-08002B2CF9AE}" pid="4" name="KSOTemplateDocerSaveRecord">
    <vt:lpwstr>eyJoZGlkIjoiNjgyZTJmZjVkZTgzMDI1MTM1MjQ5MGRiNjIxNWQ5NGUiLCJ1c2VySWQiOiIzMDcwMjEzNTAifQ==</vt:lpwstr>
  </property>
</Properties>
</file>